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spacing w:line="580" w:lineRule="exact"/>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内蒙古自治区人民政府办公厅关于</w:t>
      </w:r>
    </w:p>
    <w:p>
      <w:pPr>
        <w:keepNext w:val="0"/>
        <w:keepLines w:val="0"/>
        <w:pageBreakBefore w:val="0"/>
        <w:widowControl w:val="0"/>
        <w:kinsoku/>
        <w:wordWrap/>
        <w:overflowPunct/>
        <w:topLinePunct/>
        <w:autoSpaceDE/>
        <w:autoSpaceDN/>
        <w:bidi w:val="0"/>
        <w:spacing w:line="580" w:lineRule="exact"/>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进一步健全社会救助和保障标准与物价</w:t>
      </w:r>
    </w:p>
    <w:p>
      <w:pPr>
        <w:keepNext w:val="0"/>
        <w:keepLines w:val="0"/>
        <w:pageBreakBefore w:val="0"/>
        <w:widowControl w:val="0"/>
        <w:kinsoku/>
        <w:wordWrap/>
        <w:overflowPunct/>
        <w:topLinePunct/>
        <w:autoSpaceDE/>
        <w:autoSpaceDN/>
        <w:bidi w:val="0"/>
        <w:spacing w:line="580" w:lineRule="exact"/>
        <w:jc w:val="center"/>
        <w:textAlignment w:val="auto"/>
        <w:rPr>
          <w:rFonts w:hint="eastAsia" w:ascii="方正小标宋简体" w:hAnsi="方正小标宋简体" w:eastAsia="方正小标宋简体" w:cs="方正小标宋简体"/>
          <w:color w:val="auto"/>
          <w:spacing w:val="45"/>
          <w:sz w:val="44"/>
          <w:szCs w:val="44"/>
          <w:lang w:eastAsia="zh-CN"/>
        </w:rPr>
      </w:pPr>
      <w:r>
        <w:rPr>
          <w:rFonts w:hint="eastAsia" w:ascii="方正小标宋简体" w:hAnsi="方正小标宋简体" w:eastAsia="方正小标宋简体" w:cs="方正小标宋简体"/>
          <w:color w:val="auto"/>
          <w:spacing w:val="45"/>
          <w:sz w:val="44"/>
          <w:szCs w:val="44"/>
          <w:lang w:eastAsia="zh-CN"/>
        </w:rPr>
        <w:t>上涨挂钩联动机制的通知</w:t>
      </w:r>
    </w:p>
    <w:p>
      <w:pPr>
        <w:keepNext w:val="0"/>
        <w:keepLines w:val="0"/>
        <w:pageBreakBefore w:val="0"/>
        <w:widowControl w:val="0"/>
        <w:kinsoku/>
        <w:wordWrap/>
        <w:overflowPunct/>
        <w:topLinePunct/>
        <w:autoSpaceDE/>
        <w:autoSpaceDN/>
        <w:bidi w:val="0"/>
        <w:spacing w:line="580" w:lineRule="exact"/>
        <w:jc w:val="center"/>
        <w:textAlignment w:val="auto"/>
        <w:rPr>
          <w:rFonts w:hint="eastAsia" w:ascii="方正小标宋简体" w:hAnsi="方正小标宋简体" w:eastAsia="方正小标宋简体" w:cs="方正小标宋简体"/>
          <w:color w:val="auto"/>
          <w:spacing w:val="45"/>
          <w:sz w:val="44"/>
          <w:szCs w:val="44"/>
          <w:lang w:eastAsia="zh-CN"/>
        </w:rPr>
      </w:pPr>
    </w:p>
    <w:p>
      <w:pPr>
        <w:keepNext w:val="0"/>
        <w:keepLines w:val="0"/>
        <w:pageBreakBefore w:val="0"/>
        <w:widowControl w:val="0"/>
        <w:kinsoku/>
        <w:wordWrap/>
        <w:overflowPunct/>
        <w:topLinePunct/>
        <w:autoSpaceDE/>
        <w:autoSpaceDN/>
        <w:bidi w:val="0"/>
        <w:spacing w:line="580" w:lineRule="exact"/>
        <w:jc w:val="center"/>
        <w:textAlignment w:val="auto"/>
        <w:rPr>
          <w:rFonts w:hint="eastAsia" w:ascii="方正小标宋简体" w:hAnsi="方正小标宋简体" w:eastAsia="方正小标宋简体" w:cs="方正小标宋简体"/>
          <w:color w:val="auto"/>
          <w:spacing w:val="45"/>
          <w:sz w:val="44"/>
          <w:szCs w:val="44"/>
          <w:lang w:eastAsia="zh-CN"/>
        </w:rPr>
      </w:pPr>
      <w:r>
        <w:rPr>
          <w:rFonts w:hint="eastAsia" w:ascii="仿宋_GB2312" w:hAnsi="华文仿宋" w:eastAsia="仿宋_GB2312"/>
          <w:color w:val="auto"/>
          <w:sz w:val="32"/>
          <w:lang w:eastAsia="zh-CN"/>
        </w:rPr>
        <w:t>内政办发〔2022〕5号</w:t>
      </w:r>
    </w:p>
    <w:p>
      <w:pPr>
        <w:keepNext w:val="0"/>
        <w:keepLines w:val="0"/>
        <w:pageBreakBefore w:val="0"/>
        <w:widowControl w:val="0"/>
        <w:kinsoku/>
        <w:wordWrap/>
        <w:overflowPunct/>
        <w:topLinePunct/>
        <w:autoSpaceDE/>
        <w:autoSpaceDN/>
        <w:bidi w:val="0"/>
        <w:adjustRightInd/>
        <w:snapToGrid/>
        <w:spacing w:line="580" w:lineRule="exact"/>
        <w:jc w:val="both"/>
        <w:textAlignment w:val="auto"/>
        <w:rPr>
          <w:rFonts w:hint="eastAsia" w:ascii="方正仿宋_GBK" w:hAnsi="方正仿宋_GBK" w:eastAsia="方正仿宋_GBK" w:cs="方正仿宋_GBK"/>
          <w:color w:val="auto"/>
          <w:sz w:val="32"/>
          <w:szCs w:val="32"/>
          <w:highlight w:val="none"/>
        </w:rPr>
      </w:pPr>
    </w:p>
    <w:p>
      <w:pPr>
        <w:keepNext w:val="0"/>
        <w:keepLines w:val="0"/>
        <w:pageBreakBefore w:val="0"/>
        <w:widowControl w:val="0"/>
        <w:kinsoku/>
        <w:wordWrap/>
        <w:overflowPunct/>
        <w:topLinePunct/>
        <w:autoSpaceDE/>
        <w:autoSpaceDN/>
        <w:bidi w:val="0"/>
        <w:adjustRightInd/>
        <w:snapToGrid/>
        <w:spacing w:line="580" w:lineRule="exact"/>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各盟行政公署、市人民政府，自治区各委、办、厅、局，各大企业、事业单位：</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根据国家发展改革委、民政部等6部门联合印发《关于进一步健全社会救助和保障标准与物价上涨挂钩联动机制的通知》（发改价格〔2021〕1553号）要求，为切实做好</w:t>
      </w:r>
      <w:r>
        <w:rPr>
          <w:rFonts w:hint="eastAsia" w:ascii="方正仿宋_GBK" w:hAnsi="方正仿宋_GBK" w:eastAsia="方正仿宋_GBK" w:cs="方正仿宋_GBK"/>
          <w:color w:val="auto"/>
          <w:sz w:val="32"/>
          <w:szCs w:val="32"/>
          <w:highlight w:val="none"/>
          <w:lang w:eastAsia="zh-CN"/>
        </w:rPr>
        <w:t>全区</w:t>
      </w:r>
      <w:r>
        <w:rPr>
          <w:rFonts w:hint="eastAsia" w:ascii="方正仿宋_GBK" w:hAnsi="方正仿宋_GBK" w:eastAsia="方正仿宋_GBK" w:cs="方正仿宋_GBK"/>
          <w:color w:val="auto"/>
          <w:sz w:val="32"/>
          <w:szCs w:val="32"/>
          <w:highlight w:val="none"/>
        </w:rPr>
        <w:t>困难群众基本生活保障工作，</w:t>
      </w:r>
      <w:r>
        <w:rPr>
          <w:rFonts w:hint="eastAsia" w:ascii="方正仿宋_GBK" w:hAnsi="方正仿宋_GBK" w:eastAsia="方正仿宋_GBK" w:cs="方正仿宋_GBK"/>
          <w:color w:val="auto"/>
          <w:sz w:val="32"/>
          <w:szCs w:val="32"/>
          <w:highlight w:val="none"/>
          <w:lang w:eastAsia="zh-CN"/>
        </w:rPr>
        <w:t>经自治区人民政府同意，</w:t>
      </w:r>
      <w:r>
        <w:rPr>
          <w:rFonts w:hint="eastAsia" w:ascii="方正仿宋_GBK" w:hAnsi="方正仿宋_GBK" w:eastAsia="方正仿宋_GBK" w:cs="方正仿宋_GBK"/>
          <w:color w:val="auto"/>
          <w:sz w:val="32"/>
          <w:szCs w:val="32"/>
          <w:highlight w:val="none"/>
        </w:rPr>
        <w:t>现就进一步健全社会救助和保障标准与物价上涨挂钩联动机制（</w:t>
      </w:r>
      <w:r>
        <w:rPr>
          <w:rFonts w:hint="eastAsia" w:ascii="方正仿宋_GBK" w:hAnsi="方正仿宋_GBK" w:eastAsia="方正仿宋_GBK" w:cs="方正仿宋_GBK"/>
          <w:color w:val="auto"/>
          <w:sz w:val="32"/>
          <w:szCs w:val="32"/>
          <w:highlight w:val="none"/>
          <w:lang w:eastAsia="zh-CN"/>
        </w:rPr>
        <w:t>以下</w:t>
      </w:r>
      <w:r>
        <w:rPr>
          <w:rFonts w:hint="eastAsia" w:ascii="方正仿宋_GBK" w:hAnsi="方正仿宋_GBK" w:eastAsia="方正仿宋_GBK" w:cs="方正仿宋_GBK"/>
          <w:color w:val="auto"/>
          <w:sz w:val="32"/>
          <w:szCs w:val="32"/>
          <w:highlight w:val="none"/>
        </w:rPr>
        <w:t>简称价格补贴联动机制）有关事</w:t>
      </w:r>
      <w:r>
        <w:rPr>
          <w:rFonts w:hint="eastAsia" w:ascii="方正仿宋_GBK" w:hAnsi="方正仿宋_GBK" w:eastAsia="方正仿宋_GBK" w:cs="方正仿宋_GBK"/>
          <w:color w:val="auto"/>
          <w:sz w:val="32"/>
          <w:szCs w:val="32"/>
          <w:highlight w:val="none"/>
          <w:lang w:eastAsia="zh-CN"/>
        </w:rPr>
        <w:t>宜</w:t>
      </w:r>
      <w:r>
        <w:rPr>
          <w:rFonts w:hint="eastAsia" w:ascii="方正仿宋_GBK" w:hAnsi="方正仿宋_GBK" w:eastAsia="方正仿宋_GBK" w:cs="方正仿宋_GBK"/>
          <w:color w:val="auto"/>
          <w:sz w:val="32"/>
          <w:szCs w:val="32"/>
          <w:highlight w:val="none"/>
        </w:rPr>
        <w:t>通知如下</w:t>
      </w:r>
      <w:r>
        <w:rPr>
          <w:rFonts w:hint="eastAsia" w:ascii="方正仿宋_GBK" w:hAnsi="方正仿宋_GBK" w:eastAsia="方正仿宋_GBK" w:cs="方正仿宋_GBK"/>
          <w:color w:val="auto"/>
          <w:sz w:val="32"/>
          <w:szCs w:val="32"/>
          <w:highlight w:val="none"/>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一、保障对象</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价格补贴联动机制保障对象为：城乡低保对象</w:t>
      </w:r>
      <w:r>
        <w:rPr>
          <w:rFonts w:hint="eastAsia" w:ascii="方正仿宋_GBK" w:hAnsi="方正仿宋_GBK" w:eastAsia="方正仿宋_GBK" w:cs="方正仿宋_GBK"/>
          <w:color w:val="auto"/>
          <w:spacing w:val="11"/>
          <w:sz w:val="32"/>
          <w:szCs w:val="32"/>
          <w:highlight w:val="none"/>
        </w:rPr>
        <w:t>、特困人员、</w:t>
      </w:r>
      <w:r>
        <w:rPr>
          <w:rFonts w:hint="eastAsia" w:ascii="方正仿宋_GBK" w:hAnsi="方正仿宋_GBK" w:eastAsia="方正仿宋_GBK" w:cs="方正仿宋_GBK"/>
          <w:color w:val="auto"/>
          <w:sz w:val="32"/>
          <w:szCs w:val="32"/>
          <w:highlight w:val="none"/>
        </w:rPr>
        <w:t>领取失业保险金人员、享受国家定期抚恤补助的优抚对象、孤儿、事实无人抚养儿童、艾滋病病毒感染儿童、高等院校家庭经济困难学生。</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二、启动层级</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eastAsia="zh-CN"/>
        </w:rPr>
        <w:t>价格补贴</w:t>
      </w:r>
      <w:r>
        <w:rPr>
          <w:rFonts w:hint="eastAsia" w:ascii="方正仿宋_GBK" w:hAnsi="方正仿宋_GBK" w:eastAsia="方正仿宋_GBK" w:cs="方正仿宋_GBK"/>
          <w:color w:val="auto"/>
          <w:sz w:val="32"/>
          <w:szCs w:val="32"/>
          <w:highlight w:val="none"/>
        </w:rPr>
        <w:t>联动机制以盟市</w:t>
      </w:r>
      <w:r>
        <w:rPr>
          <w:rFonts w:hint="eastAsia" w:ascii="方正仿宋_GBK" w:hAnsi="方正仿宋_GBK" w:eastAsia="方正仿宋_GBK" w:cs="方正仿宋_GBK"/>
          <w:color w:val="auto"/>
          <w:sz w:val="32"/>
          <w:szCs w:val="32"/>
          <w:highlight w:val="none"/>
          <w:lang w:eastAsia="zh-CN"/>
        </w:rPr>
        <w:t>（不包含满洲里市、二连浩特市，下同）</w:t>
      </w:r>
      <w:r>
        <w:rPr>
          <w:rFonts w:hint="eastAsia" w:ascii="方正仿宋_GBK" w:hAnsi="方正仿宋_GBK" w:eastAsia="方正仿宋_GBK" w:cs="方正仿宋_GBK"/>
          <w:color w:val="auto"/>
          <w:sz w:val="32"/>
          <w:szCs w:val="32"/>
          <w:highlight w:val="none"/>
        </w:rPr>
        <w:t>为单位统一启动，</w:t>
      </w:r>
      <w:r>
        <w:rPr>
          <w:rFonts w:hint="eastAsia" w:ascii="方正仿宋_GBK" w:hAnsi="方正仿宋_GBK" w:eastAsia="方正仿宋_GBK" w:cs="方正仿宋_GBK"/>
          <w:color w:val="auto"/>
          <w:sz w:val="32"/>
          <w:szCs w:val="32"/>
          <w:highlight w:val="none"/>
          <w:lang w:eastAsia="zh-CN"/>
        </w:rPr>
        <w:t>其中，呼伦贝尔市、锡林郭勒盟启动时分别通知满洲里市、二连浩特市同时启动，</w:t>
      </w:r>
      <w:r>
        <w:rPr>
          <w:rFonts w:hint="eastAsia" w:ascii="方正仿宋_GBK" w:hAnsi="方正仿宋_GBK" w:eastAsia="方正仿宋_GBK" w:cs="方正仿宋_GBK"/>
          <w:color w:val="auto"/>
          <w:sz w:val="32"/>
          <w:szCs w:val="32"/>
          <w:highlight w:val="none"/>
        </w:rPr>
        <w:t>必要时可在全区范围内全面启动或中止价格补贴联动机制。</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三、启动条件</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满足以下任一条件即启动价格补贴联动机制：</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（一）居民消费价格指数（CPI）单月同比涨幅达到3.5%。</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（二）CPI中的食品价格指数单月同比涨幅达到6%。</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四、联动方式</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当达到启动条件时，启动价格补贴联动机制，发放价格临时补贴；当月所有启动条件均不满足时，中止价格补贴联动机制，停止发放价格临时补贴。价格临时补贴实行“按月测算、按月发放”，在相关价格指数发布当月足额发放到困难群众手中。要统筹做好社会救助和保障标准常态化调整与价格补贴联动机制的衔接工作。按照正常程序调整社会救助和保障标准时，应将上一年度居民基本生活费用价格上涨情况、价格临时补贴发放情况以及预测的本年度居民生活费用价格上涨情况等作为重要参考因素。</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五、补贴标准</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价格临时补贴以盟市为单位执行统一的补贴标准，</w:t>
      </w:r>
      <w:r>
        <w:rPr>
          <w:rFonts w:hint="eastAsia" w:ascii="方正仿宋_GBK" w:hAnsi="方正仿宋_GBK" w:eastAsia="方正仿宋_GBK" w:cs="方正仿宋_GBK"/>
          <w:color w:val="auto"/>
          <w:sz w:val="32"/>
          <w:szCs w:val="32"/>
          <w:highlight w:val="none"/>
          <w:lang w:eastAsia="zh-CN"/>
        </w:rPr>
        <w:t>其中，满洲里市、二连浩特市补贴标准分别按照呼伦贝尔市、锡林郭勒盟补贴标准执行。</w:t>
      </w:r>
      <w:r>
        <w:rPr>
          <w:rFonts w:hint="eastAsia" w:ascii="方正仿宋_GBK" w:hAnsi="方正仿宋_GBK" w:eastAsia="方正仿宋_GBK" w:cs="方正仿宋_GBK"/>
          <w:color w:val="auto"/>
          <w:sz w:val="32"/>
          <w:szCs w:val="32"/>
          <w:highlight w:val="none"/>
        </w:rPr>
        <w:t>采用盟市城镇低收入居民基本生活费用价格指数（SCPI）测算，未编制盟市城镇低收入居民基本生活费用价格指数（SCPI）的盟市可采用周边情况相似的盟市指数数据。测算方法</w:t>
      </w:r>
      <w:r>
        <w:rPr>
          <w:rFonts w:hint="eastAsia" w:ascii="方正仿宋_GBK" w:hAnsi="方正仿宋_GBK" w:eastAsia="方正仿宋_GBK" w:cs="方正仿宋_GBK"/>
          <w:color w:val="auto"/>
          <w:sz w:val="32"/>
          <w:szCs w:val="32"/>
          <w:highlight w:val="none"/>
          <w:lang w:eastAsia="zh-CN"/>
        </w:rPr>
        <w:t>如下</w:t>
      </w:r>
      <w:r>
        <w:rPr>
          <w:rFonts w:hint="eastAsia" w:ascii="方正仿宋_GBK" w:hAnsi="方正仿宋_GBK" w:eastAsia="方正仿宋_GBK" w:cs="方正仿宋_GBK"/>
          <w:color w:val="auto"/>
          <w:sz w:val="32"/>
          <w:szCs w:val="32"/>
          <w:highlight w:val="none"/>
        </w:rPr>
        <w:t>：</w:t>
      </w:r>
    </w:p>
    <w:p>
      <w:pPr>
        <w:keepNext w:val="0"/>
        <w:keepLines w:val="0"/>
        <w:pageBreakBefore w:val="0"/>
        <w:widowControl w:val="0"/>
        <w:kinsoku/>
        <w:wordWrap/>
        <w:overflowPunct w:val="0"/>
        <w:topLinePunct w:val="0"/>
        <w:autoSpaceDE/>
        <w:autoSpaceDN/>
        <w:bidi w:val="0"/>
        <w:adjustRightInd/>
        <w:snapToGrid/>
        <w:spacing w:line="580" w:lineRule="exact"/>
        <w:ind w:left="0" w:leftChars="0" w:firstLine="499" w:firstLineChars="156"/>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w:t>
      </w:r>
      <w:r>
        <w:rPr>
          <w:rFonts w:hint="eastAsia" w:ascii="方正仿宋_GBK" w:hAnsi="方正仿宋_GBK" w:eastAsia="方正仿宋_GBK" w:cs="方正仿宋_GBK"/>
          <w:color w:val="auto"/>
          <w:spacing w:val="-11"/>
          <w:sz w:val="32"/>
          <w:szCs w:val="32"/>
          <w:highlight w:val="none"/>
        </w:rPr>
        <w:t>城市价格临时补贴标准</w:t>
      </w:r>
      <w:r>
        <w:rPr>
          <w:rFonts w:hint="eastAsia" w:ascii="方正仿宋_GBK" w:hAnsi="方正仿宋_GBK" w:eastAsia="方正仿宋_GBK" w:cs="方正仿宋_GBK"/>
          <w:color w:val="auto"/>
          <w:spacing w:val="0"/>
          <w:sz w:val="32"/>
          <w:szCs w:val="32"/>
          <w:highlight w:val="none"/>
        </w:rPr>
        <w:t>=盟市城市低保保障标准×盟市城镇低收入居民基本生活费用价格指数（SCPI）同比涨幅</w:t>
      </w:r>
      <w:r>
        <w:rPr>
          <w:rFonts w:hint="eastAsia" w:ascii="方正仿宋_GBK" w:hAnsi="方正仿宋_GBK" w:eastAsia="方正仿宋_GBK" w:cs="方正仿宋_GBK"/>
          <w:color w:val="auto"/>
          <w:spacing w:val="0"/>
          <w:sz w:val="32"/>
          <w:szCs w:val="32"/>
          <w:highlight w:val="none"/>
          <w:lang w:eastAsia="zh-CN"/>
        </w:rPr>
        <w:t>，并四</w:t>
      </w:r>
      <w:r>
        <w:rPr>
          <w:rFonts w:hint="eastAsia" w:ascii="方正仿宋_GBK" w:hAnsi="方正仿宋_GBK" w:eastAsia="方正仿宋_GBK" w:cs="方正仿宋_GBK"/>
          <w:color w:val="auto"/>
          <w:sz w:val="32"/>
          <w:szCs w:val="32"/>
          <w:highlight w:val="none"/>
          <w:lang w:eastAsia="zh-CN"/>
        </w:rPr>
        <w:t>舍五入取整</w:t>
      </w:r>
      <w:r>
        <w:rPr>
          <w:rFonts w:hint="eastAsia" w:ascii="方正仿宋_GBK" w:hAnsi="方正仿宋_GBK" w:eastAsia="方正仿宋_GBK" w:cs="方正仿宋_GBK"/>
          <w:color w:val="auto"/>
          <w:sz w:val="32"/>
          <w:szCs w:val="32"/>
          <w:highlight w:val="none"/>
        </w:rPr>
        <w:t>。</w:t>
      </w:r>
    </w:p>
    <w:p>
      <w:pPr>
        <w:keepNext w:val="0"/>
        <w:keepLines w:val="0"/>
        <w:pageBreakBefore w:val="0"/>
        <w:widowControl w:val="0"/>
        <w:kinsoku/>
        <w:wordWrap/>
        <w:overflowPunct w:val="0"/>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（二）农村牧区价格临时补贴标准=盟市农村牧区低</w:t>
      </w:r>
      <w:r>
        <w:rPr>
          <w:rFonts w:hint="eastAsia" w:ascii="方正仿宋_GBK" w:hAnsi="方正仿宋_GBK" w:eastAsia="方正仿宋_GBK" w:cs="方正仿宋_GBK"/>
          <w:color w:val="auto"/>
          <w:spacing w:val="-20"/>
          <w:sz w:val="32"/>
          <w:szCs w:val="32"/>
          <w:highlight w:val="none"/>
        </w:rPr>
        <w:t>保保障标</w:t>
      </w:r>
      <w:r>
        <w:rPr>
          <w:rFonts w:hint="eastAsia" w:ascii="方正仿宋_GBK" w:hAnsi="方正仿宋_GBK" w:eastAsia="方正仿宋_GBK" w:cs="方正仿宋_GBK"/>
          <w:color w:val="auto"/>
          <w:sz w:val="32"/>
          <w:szCs w:val="32"/>
          <w:highlight w:val="none"/>
        </w:rPr>
        <w:t>准×盟市城镇低收入居民基本生活费用价格指数（SCPI）同比涨幅</w:t>
      </w:r>
      <w:r>
        <w:rPr>
          <w:rFonts w:hint="eastAsia" w:ascii="方正仿宋_GBK" w:hAnsi="方正仿宋_GBK" w:eastAsia="方正仿宋_GBK" w:cs="方正仿宋_GBK"/>
          <w:color w:val="auto"/>
          <w:sz w:val="32"/>
          <w:szCs w:val="32"/>
          <w:highlight w:val="none"/>
          <w:lang w:eastAsia="zh-CN"/>
        </w:rPr>
        <w:t>，并</w:t>
      </w:r>
      <w:r>
        <w:rPr>
          <w:rFonts w:hint="eastAsia" w:ascii="方正仿宋_GBK" w:hAnsi="方正仿宋_GBK" w:eastAsia="方正仿宋_GBK" w:cs="方正仿宋_GBK"/>
          <w:color w:val="auto"/>
          <w:sz w:val="32"/>
          <w:szCs w:val="32"/>
          <w:highlight w:val="none"/>
        </w:rPr>
        <w:t>四舍五入取整</w:t>
      </w:r>
      <w:r>
        <w:rPr>
          <w:rFonts w:hint="eastAsia" w:ascii="方正仿宋_GBK" w:hAnsi="方正仿宋_GBK" w:eastAsia="方正仿宋_GBK" w:cs="方正仿宋_GBK"/>
          <w:color w:val="auto"/>
          <w:sz w:val="32"/>
          <w:szCs w:val="32"/>
          <w:highlight w:val="none"/>
          <w:lang w:eastAsia="zh-CN"/>
        </w:rPr>
        <w:t>。</w:t>
      </w:r>
    </w:p>
    <w:p>
      <w:pPr>
        <w:keepNext w:val="0"/>
        <w:keepLines w:val="0"/>
        <w:pageBreakBefore w:val="0"/>
        <w:widowControl w:val="0"/>
        <w:kinsoku/>
        <w:wordWrap/>
        <w:overflowPunct w:val="0"/>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城市每人每月补贴不足30元的，按30元发放，超过30元的据实发放；农村牧区每人每月补贴不足15元的，按15元发放，超过15元的据实发放。</w:t>
      </w:r>
    </w:p>
    <w:p>
      <w:pPr>
        <w:keepNext w:val="0"/>
        <w:keepLines w:val="0"/>
        <w:pageBreakBefore w:val="0"/>
        <w:widowControl w:val="0"/>
        <w:kinsoku/>
        <w:wordWrap/>
        <w:overflowPunct w:val="0"/>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领取失业保险金人员、孤儿、事实无人抚养儿童、艾滋病病毒感染儿童、高等院校家庭经济困难学生的补贴标准参照城市价格临时补贴标准执行。</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六、资金保障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享受国家定期抚恤补助的优抚对象、低保对象、特困人员、孤儿、事实无人抚养儿童、艾滋病病毒感染儿童、高等院校家庭经济困难学生的价格临时补贴资金纳入同级政府财政预算，自治区主要通过奖补形式对盟市、旗县（市、区）联动补贴资金给予补助。对低保对象、特困人员、孤儿、事实无人抚养儿童、艾滋病病毒感染儿童发放的价格临时补贴可以从自治区各级财政安排的困难群众救助补助资金列支。领取失业保险金人员的价格临时补贴资金从失业保险基金中列支。</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七、工作机制</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（一）各盟行政公署、市人民政府要建立联动机制工作执行机制，由盟市发展改革委牵头，</w:t>
      </w:r>
      <w:r>
        <w:rPr>
          <w:rFonts w:hint="eastAsia" w:ascii="方正仿宋_GBK" w:hAnsi="方正仿宋_GBK" w:eastAsia="方正仿宋_GBK" w:cs="方正仿宋_GBK"/>
          <w:color w:val="auto"/>
          <w:sz w:val="32"/>
          <w:szCs w:val="32"/>
          <w:highlight w:val="none"/>
          <w:lang w:eastAsia="zh-CN"/>
        </w:rPr>
        <w:t>各</w:t>
      </w:r>
      <w:r>
        <w:rPr>
          <w:rFonts w:hint="eastAsia" w:ascii="方正仿宋_GBK" w:hAnsi="方正仿宋_GBK" w:eastAsia="方正仿宋_GBK" w:cs="方正仿宋_GBK"/>
          <w:color w:val="auto"/>
          <w:sz w:val="32"/>
          <w:szCs w:val="32"/>
          <w:highlight w:val="none"/>
        </w:rPr>
        <w:t>相关部门密切配合，优化工作程序，提高工作效率，确保价格临时补贴及时足额发放到位。</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（二）国家统计局各级调查队要及时提供相关价格</w:t>
      </w:r>
      <w:r>
        <w:rPr>
          <w:rFonts w:hint="eastAsia" w:ascii="方正仿宋_GBK" w:hAnsi="方正仿宋_GBK" w:eastAsia="方正仿宋_GBK" w:cs="方正仿宋_GBK"/>
          <w:color w:val="auto"/>
          <w:spacing w:val="-20"/>
          <w:sz w:val="32"/>
          <w:szCs w:val="32"/>
          <w:highlight w:val="none"/>
        </w:rPr>
        <w:t>指数数据</w:t>
      </w:r>
      <w:r>
        <w:rPr>
          <w:rFonts w:hint="eastAsia" w:ascii="方正仿宋_GBK" w:hAnsi="方正仿宋_GBK" w:eastAsia="方正仿宋_GBK" w:cs="方正仿宋_GBK"/>
          <w:color w:val="auto"/>
          <w:sz w:val="32"/>
          <w:szCs w:val="32"/>
          <w:highlight w:val="none"/>
        </w:rPr>
        <w:t>；盟市发展改革委要密切关注物价变动，及时启动或中止联动机制，准确测算价格临时补贴标准，提出价格临时补贴标准的建议，抓好机制实施情况跟踪和督导；自治区各级财政部门要积极安排价格临时补贴资金；自治区退役军人厅、教育厅和盟市退役军人事务局、民政局、人力资源社会保障局以及盟市所属高校要组织好本部门、本单位保障对象价格临时补贴资金的发放</w:t>
      </w:r>
      <w:r>
        <w:rPr>
          <w:rFonts w:hint="eastAsia" w:ascii="方正仿宋_GBK" w:hAnsi="方正仿宋_GBK" w:eastAsia="方正仿宋_GBK" w:cs="方正仿宋_GBK"/>
          <w:color w:val="auto"/>
          <w:sz w:val="32"/>
          <w:szCs w:val="32"/>
          <w:highlight w:val="none"/>
          <w:lang w:eastAsia="zh-CN"/>
        </w:rPr>
        <w:t>工作</w:t>
      </w:r>
      <w:r>
        <w:rPr>
          <w:rFonts w:hint="eastAsia" w:ascii="方正仿宋_GBK" w:hAnsi="方正仿宋_GBK" w:eastAsia="方正仿宋_GBK" w:cs="方正仿宋_GBK"/>
          <w:color w:val="auto"/>
          <w:sz w:val="32"/>
          <w:szCs w:val="32"/>
          <w:highlight w:val="none"/>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color w:val="auto"/>
          <w:sz w:val="32"/>
          <w:szCs w:val="32"/>
          <w:highlight w:val="none"/>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八、工作要求</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（一）各盟市发展改革委启动或中止联动机制后，要及时告知自治区退役军人厅、教育厅和盟市退役军人事务局、民政局、人力资源社会保障局</w:t>
      </w:r>
      <w:r>
        <w:rPr>
          <w:rFonts w:hint="eastAsia" w:ascii="方正仿宋_GBK" w:hAnsi="方正仿宋_GBK" w:eastAsia="方正仿宋_GBK" w:cs="方正仿宋_GBK"/>
          <w:color w:val="auto"/>
          <w:sz w:val="32"/>
          <w:szCs w:val="32"/>
          <w:highlight w:val="none"/>
          <w:lang w:eastAsia="zh-CN"/>
        </w:rPr>
        <w:t>及</w:t>
      </w:r>
      <w:r>
        <w:rPr>
          <w:rFonts w:hint="eastAsia" w:ascii="方正仿宋_GBK" w:hAnsi="方正仿宋_GBK" w:eastAsia="方正仿宋_GBK" w:cs="方正仿宋_GBK"/>
          <w:color w:val="auto"/>
          <w:sz w:val="32"/>
          <w:szCs w:val="32"/>
          <w:highlight w:val="none"/>
        </w:rPr>
        <w:t>盟市所属高校。</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二）自治区退役军人厅具体负责自治区本级享受国家定期抚恤补助的优抚对象临时补贴资金的发放；自治区教育厅具体负责自治区级直属高校保障对象价格临时补贴资金的发放，自治区级直属高等院校家庭经济困难学生的补贴标准按照院校所在地的补贴标准执行。盟市退役军人事务局、民政局、人力资源社会保障局和盟市所属高校具体负责盟市及旗县（市、区）级保障对象价格临时补贴资金的发放。</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（三）各盟市要严格按照规定的价格临时补贴范围和对象发放补贴，</w:t>
      </w:r>
      <w:r>
        <w:rPr>
          <w:rFonts w:hint="eastAsia" w:ascii="方正仿宋_GBK" w:hAnsi="方正仿宋_GBK" w:eastAsia="方正仿宋_GBK" w:cs="方正仿宋_GBK"/>
          <w:color w:val="auto"/>
          <w:sz w:val="32"/>
          <w:szCs w:val="32"/>
          <w:highlight w:val="none"/>
          <w:lang w:eastAsia="zh-CN"/>
        </w:rPr>
        <w:t>及时</w:t>
      </w:r>
      <w:r>
        <w:rPr>
          <w:rFonts w:hint="eastAsia" w:ascii="方正仿宋_GBK" w:hAnsi="方正仿宋_GBK" w:eastAsia="方正仿宋_GBK" w:cs="方正仿宋_GBK"/>
          <w:color w:val="auto"/>
          <w:sz w:val="32"/>
          <w:szCs w:val="32"/>
          <w:highlight w:val="none"/>
        </w:rPr>
        <w:t>更新保障对象数据，做到“应保尽保、应补尽补”。</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（四）各盟市发展改革委要按月向</w:t>
      </w:r>
      <w:r>
        <w:rPr>
          <w:rFonts w:hint="eastAsia" w:ascii="方正仿宋_GBK" w:hAnsi="方正仿宋_GBK" w:eastAsia="方正仿宋_GBK" w:cs="方正仿宋_GBK"/>
          <w:b w:val="0"/>
          <w:bCs w:val="0"/>
          <w:color w:val="auto"/>
          <w:sz w:val="32"/>
          <w:szCs w:val="32"/>
          <w:highlight w:val="none"/>
          <w:lang w:eastAsia="zh-CN"/>
        </w:rPr>
        <w:t>所属盟行政公署、市人民政府和</w:t>
      </w:r>
      <w:r>
        <w:rPr>
          <w:rFonts w:hint="eastAsia" w:ascii="方正仿宋_GBK" w:hAnsi="方正仿宋_GBK" w:eastAsia="方正仿宋_GBK" w:cs="方正仿宋_GBK"/>
          <w:color w:val="auto"/>
          <w:sz w:val="32"/>
          <w:szCs w:val="32"/>
          <w:highlight w:val="none"/>
        </w:rPr>
        <w:t>自治区发展改革委报告联动机制启动或中止情况、价格补贴资金发放情况</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自治区发展改革委将会同相关部门对各盟市联动机制工作进行监督，对信息报送不实、补贴发放不及时的盟市进行通报。</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（五）按照《内蒙古自治区党委办公厅</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自治区人民政府办公厅印发〈关于改革完善社会救助制度的实施措施〉的通知》（内党办发〔2021〕5号）要求，将价格补贴联动机制执行情况纳入工作绩效评价。</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（六）各盟市在发放补贴时，相关资金划转和记录凭证上要注明所发补贴为“临时价补”等，让困难群众清晰了解补贴项目和事由。</w:t>
      </w:r>
      <w:r>
        <w:rPr>
          <w:rFonts w:hint="eastAsia" w:ascii="方正仿宋_GBK" w:hAnsi="方正仿宋_GBK" w:eastAsia="方正仿宋_GBK" w:cs="方正仿宋_GBK"/>
          <w:color w:val="auto"/>
          <w:sz w:val="32"/>
          <w:szCs w:val="32"/>
          <w:highlight w:val="none"/>
          <w:lang w:eastAsia="zh-CN"/>
        </w:rPr>
        <w:t>要</w:t>
      </w:r>
      <w:r>
        <w:rPr>
          <w:rFonts w:hint="eastAsia" w:ascii="方正仿宋_GBK" w:hAnsi="方正仿宋_GBK" w:eastAsia="方正仿宋_GBK" w:cs="方正仿宋_GBK"/>
          <w:color w:val="auto"/>
          <w:sz w:val="32"/>
          <w:szCs w:val="32"/>
          <w:highlight w:val="none"/>
        </w:rPr>
        <w:t>加</w:t>
      </w:r>
      <w:r>
        <w:rPr>
          <w:rFonts w:hint="eastAsia" w:ascii="方正仿宋_GBK" w:hAnsi="方正仿宋_GBK" w:eastAsia="方正仿宋_GBK" w:cs="方正仿宋_GBK"/>
          <w:color w:val="auto"/>
          <w:sz w:val="32"/>
          <w:szCs w:val="32"/>
          <w:highlight w:val="none"/>
          <w:lang w:eastAsia="zh-CN"/>
        </w:rPr>
        <w:t>大</w:t>
      </w:r>
      <w:r>
        <w:rPr>
          <w:rFonts w:hint="eastAsia" w:ascii="方正仿宋_GBK" w:hAnsi="方正仿宋_GBK" w:eastAsia="方正仿宋_GBK" w:cs="方正仿宋_GBK"/>
          <w:color w:val="auto"/>
          <w:sz w:val="32"/>
          <w:szCs w:val="32"/>
          <w:highlight w:val="none"/>
        </w:rPr>
        <w:t>政策解读</w:t>
      </w:r>
      <w:r>
        <w:rPr>
          <w:rFonts w:hint="eastAsia" w:ascii="方正仿宋_GBK" w:hAnsi="方正仿宋_GBK" w:eastAsia="方正仿宋_GBK" w:cs="方正仿宋_GBK"/>
          <w:color w:val="auto"/>
          <w:sz w:val="32"/>
          <w:szCs w:val="32"/>
          <w:highlight w:val="none"/>
          <w:lang w:eastAsia="zh-CN"/>
        </w:rPr>
        <w:t>力度</w:t>
      </w:r>
      <w:r>
        <w:rPr>
          <w:rFonts w:hint="eastAsia" w:ascii="方正仿宋_GBK" w:hAnsi="方正仿宋_GBK" w:eastAsia="方正仿宋_GBK" w:cs="方正仿宋_GBK"/>
          <w:color w:val="auto"/>
          <w:sz w:val="32"/>
          <w:szCs w:val="32"/>
          <w:highlight w:val="none"/>
        </w:rPr>
        <w:t>，引导</w:t>
      </w:r>
      <w:r>
        <w:rPr>
          <w:rFonts w:hint="eastAsia" w:ascii="方正仿宋_GBK" w:hAnsi="方正仿宋_GBK" w:eastAsia="方正仿宋_GBK" w:cs="方正仿宋_GBK"/>
          <w:color w:val="auto"/>
          <w:sz w:val="32"/>
          <w:szCs w:val="32"/>
          <w:highlight w:val="none"/>
          <w:lang w:eastAsia="zh-CN"/>
        </w:rPr>
        <w:t>全</w:t>
      </w:r>
      <w:r>
        <w:rPr>
          <w:rFonts w:hint="eastAsia" w:ascii="方正仿宋_GBK" w:hAnsi="方正仿宋_GBK" w:eastAsia="方正仿宋_GBK" w:cs="方正仿宋_GBK"/>
          <w:color w:val="auto"/>
          <w:sz w:val="32"/>
          <w:szCs w:val="32"/>
          <w:highlight w:val="none"/>
        </w:rPr>
        <w:t>社会准确理解价格临时补贴缓解“物价上涨部分”对困难群众基本生活影响的功能定位，避免引起社会误解和舆论误读。 </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（七）本通知自印发之日起</w:t>
      </w:r>
      <w:r>
        <w:rPr>
          <w:rFonts w:hint="eastAsia" w:ascii="方正仿宋_GBK" w:hAnsi="方正仿宋_GBK" w:eastAsia="方正仿宋_GBK" w:cs="方正仿宋_GBK"/>
          <w:color w:val="auto"/>
          <w:sz w:val="32"/>
          <w:szCs w:val="32"/>
          <w:highlight w:val="none"/>
          <w:lang w:eastAsia="zh-CN"/>
        </w:rPr>
        <w:t>执行</w:t>
      </w:r>
      <w:r>
        <w:rPr>
          <w:rFonts w:hint="eastAsia" w:ascii="方正仿宋_GBK" w:hAnsi="方正仿宋_GBK" w:eastAsia="方正仿宋_GBK" w:cs="方正仿宋_GBK"/>
          <w:color w:val="auto"/>
          <w:sz w:val="32"/>
          <w:szCs w:val="32"/>
          <w:highlight w:val="none"/>
        </w:rPr>
        <w:t>，《内蒙古自治区人</w:t>
      </w:r>
      <w:r>
        <w:rPr>
          <w:rFonts w:hint="eastAsia" w:ascii="方正仿宋_GBK" w:hAnsi="方正仿宋_GBK" w:eastAsia="方正仿宋_GBK" w:cs="方正仿宋_GBK"/>
          <w:color w:val="auto"/>
          <w:spacing w:val="-20"/>
          <w:sz w:val="32"/>
          <w:szCs w:val="32"/>
          <w:highlight w:val="none"/>
        </w:rPr>
        <w:t>民政府办</w:t>
      </w:r>
      <w:r>
        <w:rPr>
          <w:rFonts w:hint="eastAsia" w:ascii="方正仿宋_GBK" w:hAnsi="方正仿宋_GBK" w:eastAsia="方正仿宋_GBK" w:cs="方正仿宋_GBK"/>
          <w:color w:val="auto"/>
          <w:sz w:val="32"/>
          <w:szCs w:val="32"/>
          <w:highlight w:val="none"/>
        </w:rPr>
        <w:t>公厅关于进一步完善社会救助和保障标准与物价上涨挂钩联动机制的通知》（内政办发〔2021〕6号）同时废止。</w:t>
      </w:r>
    </w:p>
    <w:p>
      <w:pPr>
        <w:keepNext w:val="0"/>
        <w:keepLines w:val="0"/>
        <w:pageBreakBefore w:val="0"/>
        <w:widowControl w:val="0"/>
        <w:kinsoku/>
        <w:wordWrap/>
        <w:overflowPunct/>
        <w:topLinePunct/>
        <w:autoSpaceDE/>
        <w:autoSpaceDN/>
        <w:bidi w:val="0"/>
        <w:adjustRightInd/>
        <w:snapToGrid/>
        <w:spacing w:line="580" w:lineRule="exact"/>
        <w:jc w:val="both"/>
        <w:textAlignment w:val="auto"/>
        <w:rPr>
          <w:rFonts w:hint="eastAsia" w:ascii="方正仿宋_GBK" w:hAnsi="方正仿宋_GBK" w:eastAsia="方正仿宋_GBK" w:cs="方正仿宋_GBK"/>
          <w:color w:val="auto"/>
          <w:sz w:val="32"/>
          <w:szCs w:val="32"/>
          <w:highlight w:val="none"/>
        </w:rPr>
      </w:pPr>
    </w:p>
    <w:p>
      <w:pPr>
        <w:keepNext w:val="0"/>
        <w:keepLines w:val="0"/>
        <w:pageBreakBefore w:val="0"/>
        <w:widowControl w:val="0"/>
        <w:kinsoku/>
        <w:wordWrap/>
        <w:overflowPunct/>
        <w:topLinePunct/>
        <w:autoSpaceDE/>
        <w:autoSpaceDN/>
        <w:bidi w:val="0"/>
        <w:adjustRightInd/>
        <w:snapToGrid/>
        <w:spacing w:line="580" w:lineRule="exact"/>
        <w:jc w:val="both"/>
        <w:textAlignment w:val="auto"/>
        <w:rPr>
          <w:rFonts w:hint="eastAsia" w:ascii="方正仿宋_GBK" w:hAnsi="方正仿宋_GBK" w:eastAsia="方正仿宋_GBK" w:cs="方正仿宋_GBK"/>
          <w:color w:val="auto"/>
          <w:sz w:val="32"/>
          <w:szCs w:val="32"/>
          <w:highlight w:val="none"/>
        </w:rPr>
      </w:pPr>
    </w:p>
    <w:p>
      <w:pPr>
        <w:keepNext w:val="0"/>
        <w:keepLines w:val="0"/>
        <w:pageBreakBefore w:val="0"/>
        <w:widowControl w:val="0"/>
        <w:kinsoku/>
        <w:wordWrap/>
        <w:overflowPunct/>
        <w:topLinePunct/>
        <w:autoSpaceDE/>
        <w:autoSpaceDN/>
        <w:bidi w:val="0"/>
        <w:adjustRightInd/>
        <w:snapToGrid/>
        <w:spacing w:line="580" w:lineRule="exact"/>
        <w:jc w:val="both"/>
        <w:textAlignment w:val="auto"/>
        <w:rPr>
          <w:rFonts w:hint="eastAsia" w:ascii="方正仿宋_GBK" w:hAnsi="方正仿宋_GBK" w:eastAsia="方正仿宋_GBK" w:cs="方正仿宋_GBK"/>
          <w:color w:val="auto"/>
          <w:sz w:val="32"/>
          <w:szCs w:val="32"/>
          <w:highlight w:val="none"/>
        </w:rPr>
      </w:pPr>
    </w:p>
    <w:p>
      <w:pPr>
        <w:keepNext w:val="0"/>
        <w:keepLines w:val="0"/>
        <w:pageBreakBefore w:val="0"/>
        <w:widowControl w:val="0"/>
        <w:kinsoku/>
        <w:wordWrap/>
        <w:overflowPunct/>
        <w:topLinePunct/>
        <w:autoSpaceDE/>
        <w:autoSpaceDN/>
        <w:bidi w:val="0"/>
        <w:adjustRightInd/>
        <w:snapToGrid/>
        <w:spacing w:line="580" w:lineRule="exact"/>
        <w:jc w:val="both"/>
        <w:textAlignment w:val="auto"/>
        <w:rPr>
          <w:rFonts w:hint="eastAsia" w:ascii="方正仿宋_GBK" w:hAnsi="方正仿宋_GBK" w:eastAsia="方正仿宋_GBK" w:cs="方正仿宋_GBK"/>
          <w:color w:val="auto"/>
          <w:sz w:val="32"/>
          <w:szCs w:val="32"/>
          <w:highlight w:val="none"/>
        </w:rPr>
      </w:pPr>
    </w:p>
    <w:p>
      <w:pPr>
        <w:keepNext w:val="0"/>
        <w:keepLines w:val="0"/>
        <w:pageBreakBefore w:val="0"/>
        <w:widowControl w:val="0"/>
        <w:tabs>
          <w:tab w:val="left" w:pos="7560"/>
        </w:tabs>
        <w:kinsoku/>
        <w:wordWrap/>
        <w:overflowPunct/>
        <w:topLinePunct/>
        <w:autoSpaceDE/>
        <w:autoSpaceDN/>
        <w:bidi w:val="0"/>
        <w:adjustRightInd/>
        <w:snapToGrid/>
        <w:spacing w:line="580" w:lineRule="exact"/>
        <w:ind w:firstLine="320" w:firstLineChars="1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val="en-US" w:eastAsia="zh-CN"/>
        </w:rPr>
        <w:t xml:space="preserve">                              </w:t>
      </w:r>
      <w:r>
        <w:rPr>
          <w:rFonts w:hint="eastAsia" w:ascii="方正仿宋_GBK" w:hAnsi="方正仿宋_GBK" w:eastAsia="方正仿宋_GBK" w:cs="方正仿宋_GBK"/>
          <w:color w:val="auto"/>
          <w:sz w:val="32"/>
          <w:szCs w:val="32"/>
          <w:highlight w:val="none"/>
        </w:rPr>
        <w:t>202</w:t>
      </w:r>
      <w:r>
        <w:rPr>
          <w:rFonts w:hint="eastAsia" w:ascii="方正仿宋_GBK" w:hAnsi="方正仿宋_GBK" w:eastAsia="方正仿宋_GBK" w:cs="方正仿宋_GBK"/>
          <w:color w:val="auto"/>
          <w:sz w:val="32"/>
          <w:szCs w:val="32"/>
          <w:highlight w:val="none"/>
          <w:lang w:val="en-US" w:eastAsia="zh-CN"/>
        </w:rPr>
        <w:t>2</w:t>
      </w:r>
      <w:r>
        <w:rPr>
          <w:rFonts w:hint="eastAsia" w:ascii="方正仿宋_GBK" w:hAnsi="方正仿宋_GBK" w:eastAsia="方正仿宋_GBK" w:cs="方正仿宋_GBK"/>
          <w:color w:val="auto"/>
          <w:sz w:val="32"/>
          <w:szCs w:val="32"/>
          <w:highlight w:val="none"/>
        </w:rPr>
        <w:t>年1月</w:t>
      </w:r>
      <w:r>
        <w:rPr>
          <w:rFonts w:hint="eastAsia" w:ascii="方正仿宋_GBK" w:hAnsi="方正仿宋_GBK" w:eastAsia="方正仿宋_GBK" w:cs="方正仿宋_GBK"/>
          <w:color w:val="auto"/>
          <w:sz w:val="32"/>
          <w:szCs w:val="32"/>
          <w:highlight w:val="none"/>
          <w:lang w:val="en-US" w:eastAsia="zh-CN"/>
        </w:rPr>
        <w:t>18</w:t>
      </w:r>
      <w:r>
        <w:rPr>
          <w:rFonts w:hint="eastAsia" w:ascii="方正仿宋_GBK" w:hAnsi="方正仿宋_GBK" w:eastAsia="方正仿宋_GBK" w:cs="方正仿宋_GBK"/>
          <w:color w:val="auto"/>
          <w:sz w:val="32"/>
          <w:szCs w:val="32"/>
          <w:highlight w:val="none"/>
        </w:rPr>
        <w:t>日</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eastAsia="zh-CN"/>
        </w:rPr>
        <w:t>（此件公开发布）</w:t>
      </w:r>
    </w:p>
    <w:p>
      <w:pPr>
        <w:keepNext w:val="0"/>
        <w:keepLines w:val="0"/>
        <w:pageBreakBefore w:val="0"/>
        <w:widowControl w:val="0"/>
        <w:kinsoku/>
        <w:wordWrap/>
        <w:overflowPunct/>
        <w:topLinePunct/>
        <w:autoSpaceDE/>
        <w:autoSpaceDN/>
        <w:bidi w:val="0"/>
        <w:spacing w:line="580" w:lineRule="exact"/>
        <w:jc w:val="both"/>
        <w:textAlignment w:val="auto"/>
        <w:rPr>
          <w:rFonts w:hint="eastAsia" w:ascii="方正仿宋_GBK" w:hAnsi="方正仿宋_GBK" w:eastAsia="方正仿宋_GBK" w:cs="方正仿宋_GBK"/>
          <w:color w:val="auto"/>
          <w:sz w:val="32"/>
          <w:szCs w:val="32"/>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bookmarkStart w:id="0" w:name="_GoBack"/>
      <w:bookmarkEnd w:id="0"/>
    </w:p>
    <w:p>
      <w:pPr>
        <w:rPr>
          <w:rFonts w:hint="eastAsia"/>
          <w:color w:val="auto"/>
        </w:rPr>
      </w:pPr>
    </w:p>
    <w:p>
      <w:pPr>
        <w:rPr>
          <w:rFonts w:hint="eastAsia"/>
          <w:color w:val="auto"/>
        </w:rPr>
      </w:pPr>
    </w:p>
    <w:p>
      <w:pPr>
        <w:rPr>
          <w:rFonts w:hint="eastAsia"/>
          <w:color w:val="auto"/>
        </w:rPr>
      </w:pPr>
    </w:p>
    <w:p>
      <w:pPr>
        <w:rPr>
          <w:rFonts w:hint="eastAsia"/>
          <w:color w:val="auto"/>
        </w:rPr>
      </w:pPr>
    </w:p>
    <w:tbl>
      <w:tblPr>
        <w:tblStyle w:val="8"/>
        <w:tblW w:w="9117" w:type="dxa"/>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117"/>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PrEx>
        <w:tc>
          <w:tcPr>
            <w:tcW w:w="9117"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textAlignment w:val="auto"/>
              <w:rPr>
                <w:rFonts w:ascii="仿宋_GB2312" w:eastAsia="仿宋_GB2312"/>
                <w:color w:val="auto"/>
                <w:sz w:val="28"/>
              </w:rPr>
            </w:pPr>
            <w:r>
              <w:rPr>
                <w:rFonts w:hint="eastAsia" w:ascii="仿宋_GB2312" w:eastAsia="仿宋_GB2312"/>
                <w:color w:val="auto"/>
                <w:sz w:val="28"/>
              </w:rPr>
              <w:t>抄送：自治区党委各部门，内蒙古军区，武警内蒙古总队。</w:t>
            </w:r>
          </w:p>
          <w:p>
            <w:pPr>
              <w:keepNext w:val="0"/>
              <w:keepLines w:val="0"/>
              <w:pageBreakBefore w:val="0"/>
              <w:widowControl w:val="0"/>
              <w:kinsoku/>
              <w:wordWrap/>
              <w:overflowPunct/>
              <w:topLinePunct w:val="0"/>
              <w:autoSpaceDE/>
              <w:autoSpaceDN/>
              <w:bidi w:val="0"/>
              <w:adjustRightInd/>
              <w:snapToGrid/>
              <w:spacing w:line="400" w:lineRule="exact"/>
              <w:ind w:left="1048" w:leftChars="499" w:right="210" w:rightChars="100" w:firstLine="0" w:firstLineChars="0"/>
              <w:textAlignment w:val="auto"/>
              <w:rPr>
                <w:rFonts w:ascii="仿宋_GB2312" w:eastAsia="仿宋_GB2312"/>
                <w:color w:val="auto"/>
                <w:sz w:val="28"/>
              </w:rPr>
            </w:pPr>
            <w:r>
              <w:rPr>
                <w:rFonts w:hint="eastAsia" w:ascii="仿宋_GB2312" w:eastAsia="仿宋_GB2312"/>
                <w:color w:val="auto"/>
                <w:sz w:val="28"/>
              </w:rPr>
              <w:t>自治区人大常委会办公厅、政协办公厅，</w:t>
            </w:r>
            <w:r>
              <w:rPr>
                <w:rFonts w:hint="eastAsia" w:ascii="仿宋_GB2312" w:eastAsia="仿宋_GB2312"/>
                <w:color w:val="auto"/>
                <w:sz w:val="28"/>
                <w:lang w:eastAsia="zh-CN"/>
              </w:rPr>
              <w:t>自治区监委，自治区</w:t>
            </w:r>
            <w:r>
              <w:rPr>
                <w:rFonts w:hint="eastAsia" w:ascii="仿宋_GB2312" w:eastAsia="仿宋_GB2312"/>
                <w:color w:val="auto"/>
                <w:sz w:val="28"/>
              </w:rPr>
              <w:t>高级人民法院，检察院。</w:t>
            </w:r>
          </w:p>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firstLine="840" w:firstLineChars="300"/>
              <w:textAlignment w:val="auto"/>
              <w:rPr>
                <w:rFonts w:ascii="仿宋_GB2312" w:eastAsia="仿宋_GB2312"/>
                <w:color w:val="auto"/>
                <w:sz w:val="28"/>
              </w:rPr>
            </w:pPr>
            <w:r>
              <w:rPr>
                <w:rFonts w:hint="eastAsia" w:ascii="仿宋_GB2312" w:eastAsia="仿宋_GB2312"/>
                <w:color w:val="auto"/>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117" w:type="dxa"/>
            <w:noWrap w:val="0"/>
            <w:vAlign w:val="top"/>
          </w:tcPr>
          <w:p>
            <w:pPr>
              <w:ind w:firstLine="280" w:firstLineChars="100"/>
              <w:rPr>
                <w:rFonts w:ascii="仿宋_GB2312" w:eastAsia="仿宋_GB2312"/>
                <w:color w:val="auto"/>
                <w:sz w:val="28"/>
              </w:rPr>
            </w:pPr>
            <w:r>
              <w:rPr>
                <w:rFonts w:hint="eastAsia" w:ascii="仿宋_GB2312" w:eastAsia="仿宋_GB2312"/>
                <w:color w:val="auto"/>
                <w:sz w:val="28"/>
              </w:rPr>
              <w:t xml:space="preserve">内蒙古自治区人民政府办公厅文电处      </w:t>
            </w:r>
            <w:r>
              <w:rPr>
                <w:rFonts w:hint="eastAsia" w:ascii="仿宋_GB2312" w:eastAsia="仿宋_GB2312"/>
                <w:color w:val="auto"/>
                <w:sz w:val="28"/>
                <w:lang w:val="en-US" w:eastAsia="zh-CN"/>
              </w:rPr>
              <w:t xml:space="preserve">  </w:t>
            </w:r>
            <w:r>
              <w:rPr>
                <w:rFonts w:hint="eastAsia" w:ascii="仿宋_GB2312" w:eastAsia="仿宋_GB2312"/>
                <w:color w:val="auto"/>
                <w:sz w:val="28"/>
              </w:rPr>
              <w:t xml:space="preserve"> 202</w:t>
            </w:r>
            <w:r>
              <w:rPr>
                <w:rFonts w:hint="eastAsia" w:ascii="仿宋_GB2312" w:eastAsia="仿宋_GB2312"/>
                <w:color w:val="auto"/>
                <w:sz w:val="28"/>
                <w:lang w:val="en-US" w:eastAsia="zh-CN"/>
              </w:rPr>
              <w:t>2</w:t>
            </w:r>
            <w:r>
              <w:rPr>
                <w:rFonts w:hint="eastAsia" w:ascii="仿宋_GB2312" w:eastAsia="仿宋_GB2312"/>
                <w:color w:val="auto"/>
                <w:sz w:val="28"/>
              </w:rPr>
              <w:t>年</w:t>
            </w:r>
            <w:r>
              <w:rPr>
                <w:rFonts w:hint="eastAsia" w:ascii="仿宋_GB2312" w:eastAsia="仿宋_GB2312"/>
                <w:color w:val="auto"/>
                <w:sz w:val="28"/>
                <w:lang w:val="en-US" w:eastAsia="zh-CN"/>
              </w:rPr>
              <w:t>1</w:t>
            </w:r>
            <w:r>
              <w:rPr>
                <w:rFonts w:hint="eastAsia" w:ascii="仿宋_GB2312" w:eastAsia="仿宋_GB2312"/>
                <w:color w:val="auto"/>
                <w:sz w:val="28"/>
              </w:rPr>
              <w:t>月</w:t>
            </w:r>
            <w:r>
              <w:rPr>
                <w:rFonts w:hint="eastAsia" w:ascii="仿宋_GB2312" w:eastAsia="仿宋_GB2312"/>
                <w:color w:val="auto"/>
                <w:sz w:val="28"/>
                <w:lang w:val="en-US" w:eastAsia="zh-CN"/>
              </w:rPr>
              <w:t>18</w:t>
            </w:r>
            <w:r>
              <w:rPr>
                <w:rFonts w:hint="eastAsia" w:ascii="仿宋_GB2312" w:eastAsia="仿宋_GB2312"/>
                <w:color w:val="auto"/>
                <w:sz w:val="28"/>
              </w:rPr>
              <w:t>日印发</w:t>
            </w:r>
          </w:p>
        </w:tc>
      </w:tr>
    </w:tbl>
    <w:p>
      <w:pPr>
        <w:spacing w:line="20" w:lineRule="exact"/>
        <w:rPr>
          <w:rFonts w:hint="eastAsia"/>
          <w:color w:val="auto"/>
        </w:rPr>
      </w:pPr>
    </w:p>
    <w:sectPr>
      <w:headerReference r:id="rId3" w:type="default"/>
      <w:footerReference r:id="rId5" w:type="default"/>
      <w:headerReference r:id="rId4" w:type="even"/>
      <w:footerReference r:id="rId6" w:type="even"/>
      <w:pgSz w:w="11906" w:h="16838"/>
      <w:pgMar w:top="2098" w:right="1474" w:bottom="1701" w:left="1474" w:header="851" w:footer="1417"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华文仿宋">
    <w:altName w:val="方正仿宋_GBK"/>
    <w:panose1 w:val="02010600040101010101"/>
    <w:charset w:val="00"/>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9452" w:y="-23"/>
      <w:rPr>
        <w:rStyle w:val="11"/>
        <w:rFonts w:hint="eastAsia" w:ascii="宋体" w:hAnsi="宋体"/>
        <w:sz w:val="28"/>
        <w:szCs w:val="28"/>
      </w:rPr>
    </w:pPr>
    <w:r>
      <w:rPr>
        <w:rFonts w:hint="eastAsia" w:ascii="宋体" w:hAnsi="宋体"/>
        <w:sz w:val="28"/>
        <w:szCs w:val="28"/>
      </w:rPr>
      <w:fldChar w:fldCharType="begin"/>
    </w:r>
    <w:r>
      <w:rPr>
        <w:rStyle w:val="11"/>
        <w:rFonts w:hint="eastAsia" w:ascii="宋体" w:hAnsi="宋体"/>
        <w:sz w:val="28"/>
        <w:szCs w:val="28"/>
      </w:rPr>
      <w:instrText xml:space="preserve">PAGE  </w:instrText>
    </w:r>
    <w:r>
      <w:rPr>
        <w:rFonts w:hint="eastAsia" w:ascii="宋体" w:hAnsi="宋体"/>
        <w:sz w:val="28"/>
        <w:szCs w:val="28"/>
      </w:rPr>
      <w:fldChar w:fldCharType="separate"/>
    </w:r>
    <w:r>
      <w:rPr>
        <w:rStyle w:val="11"/>
        <w:rFonts w:ascii="宋体" w:hAnsi="宋体"/>
        <w:sz w:val="28"/>
        <w:szCs w:val="28"/>
        <w:lang/>
      </w:rPr>
      <w:t>- 1 -</w:t>
    </w:r>
    <w:r>
      <w:rPr>
        <w:rFonts w:hint="eastAsia" w:ascii="宋体" w:hAnsi="宋体"/>
        <w:sz w:val="28"/>
        <w:szCs w:val="28"/>
      </w:rPr>
      <w:fldChar w:fldCharType="end"/>
    </w:r>
  </w:p>
  <w:p>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1892" w:y="-23"/>
      <w:rPr>
        <w:rStyle w:val="11"/>
        <w:rFonts w:ascii="宋体" w:hAnsi="宋体"/>
        <w:sz w:val="28"/>
        <w:szCs w:val="28"/>
      </w:rPr>
    </w:pPr>
    <w:r>
      <w:rPr>
        <w:rFonts w:ascii="宋体" w:hAnsi="宋体"/>
        <w:sz w:val="28"/>
        <w:szCs w:val="28"/>
      </w:rPr>
      <w:fldChar w:fldCharType="begin"/>
    </w:r>
    <w:r>
      <w:rPr>
        <w:rStyle w:val="11"/>
        <w:rFonts w:ascii="宋体" w:hAnsi="宋体"/>
        <w:sz w:val="28"/>
        <w:szCs w:val="28"/>
      </w:rPr>
      <w:instrText xml:space="preserve">PAGE  </w:instrText>
    </w:r>
    <w:r>
      <w:rPr>
        <w:rFonts w:ascii="宋体" w:hAnsi="宋体"/>
        <w:sz w:val="28"/>
        <w:szCs w:val="28"/>
      </w:rPr>
      <w:fldChar w:fldCharType="separate"/>
    </w:r>
    <w:r>
      <w:rPr>
        <w:rStyle w:val="11"/>
        <w:rFonts w:ascii="宋体" w:hAnsi="宋体"/>
        <w:sz w:val="28"/>
        <w:szCs w:val="28"/>
        <w:lang/>
      </w:rPr>
      <w:t>- 2 -</w:t>
    </w:r>
    <w:r>
      <w:rPr>
        <w:rFonts w:ascii="宋体" w:hAnsi="宋体"/>
        <w:sz w:val="28"/>
        <w:szCs w:val="28"/>
      </w:rPr>
      <w:fldChar w:fldCharType="end"/>
    </w:r>
  </w:p>
  <w:p>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FF28AB"/>
    <w:rsid w:val="0000053B"/>
    <w:rsid w:val="00000BC8"/>
    <w:rsid w:val="00000D35"/>
    <w:rsid w:val="00000DA3"/>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6A27"/>
    <w:rsid w:val="000F7B4B"/>
    <w:rsid w:val="000F7DFD"/>
    <w:rsid w:val="00100F1E"/>
    <w:rsid w:val="00104732"/>
    <w:rsid w:val="00104FB1"/>
    <w:rsid w:val="001106F2"/>
    <w:rsid w:val="00110B09"/>
    <w:rsid w:val="0011191E"/>
    <w:rsid w:val="001147E4"/>
    <w:rsid w:val="00114AC4"/>
    <w:rsid w:val="00114FD2"/>
    <w:rsid w:val="001166E7"/>
    <w:rsid w:val="00117691"/>
    <w:rsid w:val="0012067D"/>
    <w:rsid w:val="00120FA6"/>
    <w:rsid w:val="00121523"/>
    <w:rsid w:val="00121A80"/>
    <w:rsid w:val="0012298D"/>
    <w:rsid w:val="00122EA1"/>
    <w:rsid w:val="00124296"/>
    <w:rsid w:val="001243C4"/>
    <w:rsid w:val="0012798F"/>
    <w:rsid w:val="00127D04"/>
    <w:rsid w:val="001303D3"/>
    <w:rsid w:val="001316F8"/>
    <w:rsid w:val="00132688"/>
    <w:rsid w:val="00132E64"/>
    <w:rsid w:val="001332BC"/>
    <w:rsid w:val="001340AD"/>
    <w:rsid w:val="0013461A"/>
    <w:rsid w:val="00137385"/>
    <w:rsid w:val="00140625"/>
    <w:rsid w:val="00142107"/>
    <w:rsid w:val="00145C0B"/>
    <w:rsid w:val="00145D2E"/>
    <w:rsid w:val="00146D53"/>
    <w:rsid w:val="00147907"/>
    <w:rsid w:val="00151C4B"/>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2EC2"/>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D8D"/>
    <w:rsid w:val="00243573"/>
    <w:rsid w:val="002438BD"/>
    <w:rsid w:val="00244F58"/>
    <w:rsid w:val="002502FA"/>
    <w:rsid w:val="002508F6"/>
    <w:rsid w:val="00253497"/>
    <w:rsid w:val="00253505"/>
    <w:rsid w:val="002537D8"/>
    <w:rsid w:val="00253D8D"/>
    <w:rsid w:val="00254C91"/>
    <w:rsid w:val="0026009A"/>
    <w:rsid w:val="00260B18"/>
    <w:rsid w:val="00261C1B"/>
    <w:rsid w:val="00263BB4"/>
    <w:rsid w:val="00264B5A"/>
    <w:rsid w:val="00265F33"/>
    <w:rsid w:val="002701FE"/>
    <w:rsid w:val="00271599"/>
    <w:rsid w:val="002750B4"/>
    <w:rsid w:val="002755E6"/>
    <w:rsid w:val="00277086"/>
    <w:rsid w:val="0027732C"/>
    <w:rsid w:val="00284880"/>
    <w:rsid w:val="00286092"/>
    <w:rsid w:val="00290135"/>
    <w:rsid w:val="00294F4F"/>
    <w:rsid w:val="0029606D"/>
    <w:rsid w:val="002970B9"/>
    <w:rsid w:val="002973C7"/>
    <w:rsid w:val="002A0CAD"/>
    <w:rsid w:val="002A32E1"/>
    <w:rsid w:val="002A3E00"/>
    <w:rsid w:val="002A5246"/>
    <w:rsid w:val="002A64B4"/>
    <w:rsid w:val="002A67EB"/>
    <w:rsid w:val="002A7BF8"/>
    <w:rsid w:val="002B0F91"/>
    <w:rsid w:val="002B29B9"/>
    <w:rsid w:val="002B4292"/>
    <w:rsid w:val="002B4C83"/>
    <w:rsid w:val="002C0358"/>
    <w:rsid w:val="002C048B"/>
    <w:rsid w:val="002C1222"/>
    <w:rsid w:val="002C2F22"/>
    <w:rsid w:val="002C409D"/>
    <w:rsid w:val="002C41C0"/>
    <w:rsid w:val="002C4FC3"/>
    <w:rsid w:val="002C5B09"/>
    <w:rsid w:val="002D063C"/>
    <w:rsid w:val="002D2CF6"/>
    <w:rsid w:val="002D31DC"/>
    <w:rsid w:val="002D3F3C"/>
    <w:rsid w:val="002D4032"/>
    <w:rsid w:val="002D5A5E"/>
    <w:rsid w:val="002D7462"/>
    <w:rsid w:val="002E0919"/>
    <w:rsid w:val="002E2F22"/>
    <w:rsid w:val="002E3CC3"/>
    <w:rsid w:val="002F5BA9"/>
    <w:rsid w:val="00301AC3"/>
    <w:rsid w:val="00302690"/>
    <w:rsid w:val="00302982"/>
    <w:rsid w:val="00303418"/>
    <w:rsid w:val="00316104"/>
    <w:rsid w:val="00317237"/>
    <w:rsid w:val="00321960"/>
    <w:rsid w:val="00322E30"/>
    <w:rsid w:val="00324C04"/>
    <w:rsid w:val="003340DF"/>
    <w:rsid w:val="00334343"/>
    <w:rsid w:val="003347A0"/>
    <w:rsid w:val="00336F88"/>
    <w:rsid w:val="00340367"/>
    <w:rsid w:val="00340FF0"/>
    <w:rsid w:val="00341A6E"/>
    <w:rsid w:val="00342CC3"/>
    <w:rsid w:val="00343E0C"/>
    <w:rsid w:val="00344DA3"/>
    <w:rsid w:val="00350F9A"/>
    <w:rsid w:val="00351987"/>
    <w:rsid w:val="00351F4C"/>
    <w:rsid w:val="00352A64"/>
    <w:rsid w:val="0035334E"/>
    <w:rsid w:val="003557E4"/>
    <w:rsid w:val="00361A29"/>
    <w:rsid w:val="0036715B"/>
    <w:rsid w:val="00367E4A"/>
    <w:rsid w:val="00371465"/>
    <w:rsid w:val="0037414E"/>
    <w:rsid w:val="0037427E"/>
    <w:rsid w:val="00375606"/>
    <w:rsid w:val="00381A7A"/>
    <w:rsid w:val="00385438"/>
    <w:rsid w:val="003878A5"/>
    <w:rsid w:val="00390619"/>
    <w:rsid w:val="00390C49"/>
    <w:rsid w:val="0039177C"/>
    <w:rsid w:val="0039202C"/>
    <w:rsid w:val="00392B94"/>
    <w:rsid w:val="00393F4B"/>
    <w:rsid w:val="00394377"/>
    <w:rsid w:val="003948FC"/>
    <w:rsid w:val="00396618"/>
    <w:rsid w:val="003978C8"/>
    <w:rsid w:val="003A0463"/>
    <w:rsid w:val="003A0C24"/>
    <w:rsid w:val="003A2485"/>
    <w:rsid w:val="003A264D"/>
    <w:rsid w:val="003A31A0"/>
    <w:rsid w:val="003A326C"/>
    <w:rsid w:val="003A3696"/>
    <w:rsid w:val="003A42FA"/>
    <w:rsid w:val="003A5841"/>
    <w:rsid w:val="003A6755"/>
    <w:rsid w:val="003B1AA3"/>
    <w:rsid w:val="003B32B0"/>
    <w:rsid w:val="003B59D9"/>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0B67"/>
    <w:rsid w:val="003F1F24"/>
    <w:rsid w:val="003F595E"/>
    <w:rsid w:val="003F6574"/>
    <w:rsid w:val="003F6E09"/>
    <w:rsid w:val="003F728E"/>
    <w:rsid w:val="00402EDB"/>
    <w:rsid w:val="004100FD"/>
    <w:rsid w:val="0041232A"/>
    <w:rsid w:val="004125FC"/>
    <w:rsid w:val="00412AD9"/>
    <w:rsid w:val="00415492"/>
    <w:rsid w:val="00416A0B"/>
    <w:rsid w:val="004178C8"/>
    <w:rsid w:val="00423C35"/>
    <w:rsid w:val="004278D4"/>
    <w:rsid w:val="00430D45"/>
    <w:rsid w:val="00431DA3"/>
    <w:rsid w:val="00432A0C"/>
    <w:rsid w:val="00433DE5"/>
    <w:rsid w:val="00437A54"/>
    <w:rsid w:val="00442031"/>
    <w:rsid w:val="0044339D"/>
    <w:rsid w:val="004443C8"/>
    <w:rsid w:val="0044481F"/>
    <w:rsid w:val="004454F7"/>
    <w:rsid w:val="00450079"/>
    <w:rsid w:val="004504E7"/>
    <w:rsid w:val="0045373C"/>
    <w:rsid w:val="00453C0B"/>
    <w:rsid w:val="00455973"/>
    <w:rsid w:val="00456071"/>
    <w:rsid w:val="00456737"/>
    <w:rsid w:val="00456A72"/>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A5BD5"/>
    <w:rsid w:val="004B0832"/>
    <w:rsid w:val="004B1D23"/>
    <w:rsid w:val="004B5CC9"/>
    <w:rsid w:val="004B72BC"/>
    <w:rsid w:val="004C0FC4"/>
    <w:rsid w:val="004C1246"/>
    <w:rsid w:val="004C1EC2"/>
    <w:rsid w:val="004C4F15"/>
    <w:rsid w:val="004C61B8"/>
    <w:rsid w:val="004C7700"/>
    <w:rsid w:val="004D028D"/>
    <w:rsid w:val="004D3D71"/>
    <w:rsid w:val="004D4FBD"/>
    <w:rsid w:val="004E1031"/>
    <w:rsid w:val="004E16F4"/>
    <w:rsid w:val="004E2788"/>
    <w:rsid w:val="004E28A4"/>
    <w:rsid w:val="004E31DF"/>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27E88"/>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18EC"/>
    <w:rsid w:val="005623D2"/>
    <w:rsid w:val="0056793D"/>
    <w:rsid w:val="00570476"/>
    <w:rsid w:val="005758B0"/>
    <w:rsid w:val="0057593B"/>
    <w:rsid w:val="005761DA"/>
    <w:rsid w:val="00576B9B"/>
    <w:rsid w:val="005775A5"/>
    <w:rsid w:val="00577A94"/>
    <w:rsid w:val="00577CD6"/>
    <w:rsid w:val="00581C4B"/>
    <w:rsid w:val="005820C9"/>
    <w:rsid w:val="00582F58"/>
    <w:rsid w:val="005847C1"/>
    <w:rsid w:val="005903E6"/>
    <w:rsid w:val="005906A6"/>
    <w:rsid w:val="00590E74"/>
    <w:rsid w:val="00593B63"/>
    <w:rsid w:val="005A1F8D"/>
    <w:rsid w:val="005A6087"/>
    <w:rsid w:val="005A67BB"/>
    <w:rsid w:val="005A740E"/>
    <w:rsid w:val="005B0120"/>
    <w:rsid w:val="005B0BCC"/>
    <w:rsid w:val="005B2090"/>
    <w:rsid w:val="005B2A3B"/>
    <w:rsid w:val="005B2A9E"/>
    <w:rsid w:val="005B2AFE"/>
    <w:rsid w:val="005B39F8"/>
    <w:rsid w:val="005B3F4F"/>
    <w:rsid w:val="005C2B4E"/>
    <w:rsid w:val="005C5E3B"/>
    <w:rsid w:val="005C663F"/>
    <w:rsid w:val="005C7397"/>
    <w:rsid w:val="005C79E2"/>
    <w:rsid w:val="005D07B3"/>
    <w:rsid w:val="005D1611"/>
    <w:rsid w:val="005E0DCD"/>
    <w:rsid w:val="005E5234"/>
    <w:rsid w:val="005E7F3F"/>
    <w:rsid w:val="005F38E6"/>
    <w:rsid w:val="005F6CAA"/>
    <w:rsid w:val="006013A0"/>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2581"/>
    <w:rsid w:val="0063404D"/>
    <w:rsid w:val="00637C57"/>
    <w:rsid w:val="00640710"/>
    <w:rsid w:val="00642967"/>
    <w:rsid w:val="00643C82"/>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2C65"/>
    <w:rsid w:val="006A3076"/>
    <w:rsid w:val="006A3B57"/>
    <w:rsid w:val="006A4BE5"/>
    <w:rsid w:val="006A55AD"/>
    <w:rsid w:val="006A65EF"/>
    <w:rsid w:val="006C492D"/>
    <w:rsid w:val="006C6369"/>
    <w:rsid w:val="006C713C"/>
    <w:rsid w:val="006D2826"/>
    <w:rsid w:val="006D44DF"/>
    <w:rsid w:val="006D582C"/>
    <w:rsid w:val="006D6106"/>
    <w:rsid w:val="006E16EF"/>
    <w:rsid w:val="006E58B8"/>
    <w:rsid w:val="006E628F"/>
    <w:rsid w:val="006E7D08"/>
    <w:rsid w:val="006F0642"/>
    <w:rsid w:val="006F069F"/>
    <w:rsid w:val="006F0977"/>
    <w:rsid w:val="006F19A2"/>
    <w:rsid w:val="006F320A"/>
    <w:rsid w:val="006F4AF1"/>
    <w:rsid w:val="006F6C03"/>
    <w:rsid w:val="006F793B"/>
    <w:rsid w:val="006F7A1E"/>
    <w:rsid w:val="007014BE"/>
    <w:rsid w:val="00704458"/>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2D9"/>
    <w:rsid w:val="0075198B"/>
    <w:rsid w:val="007543DE"/>
    <w:rsid w:val="007566F0"/>
    <w:rsid w:val="00760780"/>
    <w:rsid w:val="00763624"/>
    <w:rsid w:val="0076441E"/>
    <w:rsid w:val="0076657F"/>
    <w:rsid w:val="00773C5D"/>
    <w:rsid w:val="00774B22"/>
    <w:rsid w:val="0077781A"/>
    <w:rsid w:val="00777A09"/>
    <w:rsid w:val="007837F3"/>
    <w:rsid w:val="007904A7"/>
    <w:rsid w:val="00794C4E"/>
    <w:rsid w:val="007963A2"/>
    <w:rsid w:val="007A6F05"/>
    <w:rsid w:val="007B097B"/>
    <w:rsid w:val="007B6642"/>
    <w:rsid w:val="007C5CDC"/>
    <w:rsid w:val="007C6807"/>
    <w:rsid w:val="007C6DEF"/>
    <w:rsid w:val="007C7C36"/>
    <w:rsid w:val="007D1C46"/>
    <w:rsid w:val="007D340E"/>
    <w:rsid w:val="007D5A8A"/>
    <w:rsid w:val="007D62CA"/>
    <w:rsid w:val="007D66C2"/>
    <w:rsid w:val="007D765B"/>
    <w:rsid w:val="007E0BFD"/>
    <w:rsid w:val="007E158B"/>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06E28"/>
    <w:rsid w:val="00810805"/>
    <w:rsid w:val="00810F55"/>
    <w:rsid w:val="00811A91"/>
    <w:rsid w:val="00814958"/>
    <w:rsid w:val="008149CF"/>
    <w:rsid w:val="00816CA5"/>
    <w:rsid w:val="00817FC3"/>
    <w:rsid w:val="00823E54"/>
    <w:rsid w:val="00824A4E"/>
    <w:rsid w:val="008254E7"/>
    <w:rsid w:val="008321A8"/>
    <w:rsid w:val="0083477F"/>
    <w:rsid w:val="00837152"/>
    <w:rsid w:val="00837596"/>
    <w:rsid w:val="00840886"/>
    <w:rsid w:val="008408A0"/>
    <w:rsid w:val="00846E88"/>
    <w:rsid w:val="008501A5"/>
    <w:rsid w:val="00854ADE"/>
    <w:rsid w:val="008576F0"/>
    <w:rsid w:val="00857C89"/>
    <w:rsid w:val="00857FE1"/>
    <w:rsid w:val="008611F2"/>
    <w:rsid w:val="0086125A"/>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96DF6"/>
    <w:rsid w:val="008A0590"/>
    <w:rsid w:val="008B063A"/>
    <w:rsid w:val="008B066F"/>
    <w:rsid w:val="008B2878"/>
    <w:rsid w:val="008B2A80"/>
    <w:rsid w:val="008B4122"/>
    <w:rsid w:val="008B534E"/>
    <w:rsid w:val="008B536E"/>
    <w:rsid w:val="008B5F79"/>
    <w:rsid w:val="008B61CE"/>
    <w:rsid w:val="008C2242"/>
    <w:rsid w:val="008C2FFC"/>
    <w:rsid w:val="008C3D85"/>
    <w:rsid w:val="008D075D"/>
    <w:rsid w:val="008D2512"/>
    <w:rsid w:val="008D3423"/>
    <w:rsid w:val="008D416F"/>
    <w:rsid w:val="008D6580"/>
    <w:rsid w:val="008E1E2A"/>
    <w:rsid w:val="008E277B"/>
    <w:rsid w:val="008E3748"/>
    <w:rsid w:val="008E45DE"/>
    <w:rsid w:val="008E765D"/>
    <w:rsid w:val="008F733C"/>
    <w:rsid w:val="00904292"/>
    <w:rsid w:val="00910626"/>
    <w:rsid w:val="00910AC9"/>
    <w:rsid w:val="0091236B"/>
    <w:rsid w:val="009135EF"/>
    <w:rsid w:val="009150AA"/>
    <w:rsid w:val="009167EA"/>
    <w:rsid w:val="00916E26"/>
    <w:rsid w:val="00917CF5"/>
    <w:rsid w:val="009203AD"/>
    <w:rsid w:val="00920BA7"/>
    <w:rsid w:val="00921D50"/>
    <w:rsid w:val="00923ABF"/>
    <w:rsid w:val="009257CF"/>
    <w:rsid w:val="00926885"/>
    <w:rsid w:val="00926D34"/>
    <w:rsid w:val="00926E93"/>
    <w:rsid w:val="00927FAF"/>
    <w:rsid w:val="0093066E"/>
    <w:rsid w:val="00930C66"/>
    <w:rsid w:val="00933AD4"/>
    <w:rsid w:val="00935D37"/>
    <w:rsid w:val="00936389"/>
    <w:rsid w:val="00940633"/>
    <w:rsid w:val="009413D6"/>
    <w:rsid w:val="009418C7"/>
    <w:rsid w:val="00942DC2"/>
    <w:rsid w:val="009433EF"/>
    <w:rsid w:val="00943770"/>
    <w:rsid w:val="0094465F"/>
    <w:rsid w:val="00947975"/>
    <w:rsid w:val="00956CA1"/>
    <w:rsid w:val="00957FC8"/>
    <w:rsid w:val="0096020A"/>
    <w:rsid w:val="009606EB"/>
    <w:rsid w:val="00960DBD"/>
    <w:rsid w:val="00960E8B"/>
    <w:rsid w:val="009618C6"/>
    <w:rsid w:val="0096652B"/>
    <w:rsid w:val="00967743"/>
    <w:rsid w:val="009700AC"/>
    <w:rsid w:val="00970E4B"/>
    <w:rsid w:val="0097162D"/>
    <w:rsid w:val="009721B9"/>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678"/>
    <w:rsid w:val="00A44782"/>
    <w:rsid w:val="00A51056"/>
    <w:rsid w:val="00A52ADA"/>
    <w:rsid w:val="00A54A96"/>
    <w:rsid w:val="00A54C2D"/>
    <w:rsid w:val="00A55F01"/>
    <w:rsid w:val="00A5779D"/>
    <w:rsid w:val="00A62053"/>
    <w:rsid w:val="00A66B95"/>
    <w:rsid w:val="00A67E61"/>
    <w:rsid w:val="00A746B2"/>
    <w:rsid w:val="00A74FC4"/>
    <w:rsid w:val="00A8034A"/>
    <w:rsid w:val="00A81344"/>
    <w:rsid w:val="00A8144C"/>
    <w:rsid w:val="00A82198"/>
    <w:rsid w:val="00A85729"/>
    <w:rsid w:val="00A869B9"/>
    <w:rsid w:val="00A871E1"/>
    <w:rsid w:val="00A872AA"/>
    <w:rsid w:val="00A87303"/>
    <w:rsid w:val="00A925C8"/>
    <w:rsid w:val="00A93C26"/>
    <w:rsid w:val="00A9486C"/>
    <w:rsid w:val="00A94FB8"/>
    <w:rsid w:val="00A96790"/>
    <w:rsid w:val="00AA07BD"/>
    <w:rsid w:val="00AA3212"/>
    <w:rsid w:val="00AA3545"/>
    <w:rsid w:val="00AA4AED"/>
    <w:rsid w:val="00AA4BD1"/>
    <w:rsid w:val="00AB27A7"/>
    <w:rsid w:val="00AB301E"/>
    <w:rsid w:val="00AB38D9"/>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2D7"/>
    <w:rsid w:val="00B3342A"/>
    <w:rsid w:val="00B40DCF"/>
    <w:rsid w:val="00B41574"/>
    <w:rsid w:val="00B43C7B"/>
    <w:rsid w:val="00B4489A"/>
    <w:rsid w:val="00B4656E"/>
    <w:rsid w:val="00B47AB4"/>
    <w:rsid w:val="00B509ED"/>
    <w:rsid w:val="00B5388B"/>
    <w:rsid w:val="00B54162"/>
    <w:rsid w:val="00B542D3"/>
    <w:rsid w:val="00B560B0"/>
    <w:rsid w:val="00B56A1E"/>
    <w:rsid w:val="00B57284"/>
    <w:rsid w:val="00B6035B"/>
    <w:rsid w:val="00B64E58"/>
    <w:rsid w:val="00B666ED"/>
    <w:rsid w:val="00B70DED"/>
    <w:rsid w:val="00B7317D"/>
    <w:rsid w:val="00B73533"/>
    <w:rsid w:val="00B73E35"/>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77ED"/>
    <w:rsid w:val="00BC07D9"/>
    <w:rsid w:val="00BC0F68"/>
    <w:rsid w:val="00BC5ACB"/>
    <w:rsid w:val="00BD0A62"/>
    <w:rsid w:val="00BD0B0A"/>
    <w:rsid w:val="00BD156F"/>
    <w:rsid w:val="00BD1AAA"/>
    <w:rsid w:val="00BD3403"/>
    <w:rsid w:val="00BD3778"/>
    <w:rsid w:val="00BD384E"/>
    <w:rsid w:val="00BD6CB8"/>
    <w:rsid w:val="00BE03FB"/>
    <w:rsid w:val="00BE1A66"/>
    <w:rsid w:val="00BE25B8"/>
    <w:rsid w:val="00BE472B"/>
    <w:rsid w:val="00BE5150"/>
    <w:rsid w:val="00BE5638"/>
    <w:rsid w:val="00BF04ED"/>
    <w:rsid w:val="00BF37DC"/>
    <w:rsid w:val="00BF60EE"/>
    <w:rsid w:val="00BF7550"/>
    <w:rsid w:val="00C0138E"/>
    <w:rsid w:val="00C023A4"/>
    <w:rsid w:val="00C03B39"/>
    <w:rsid w:val="00C03DAB"/>
    <w:rsid w:val="00C0403E"/>
    <w:rsid w:val="00C05D5F"/>
    <w:rsid w:val="00C062CC"/>
    <w:rsid w:val="00C06C13"/>
    <w:rsid w:val="00C076E1"/>
    <w:rsid w:val="00C10609"/>
    <w:rsid w:val="00C1296E"/>
    <w:rsid w:val="00C168B8"/>
    <w:rsid w:val="00C16B94"/>
    <w:rsid w:val="00C2004B"/>
    <w:rsid w:val="00C22AFA"/>
    <w:rsid w:val="00C24A34"/>
    <w:rsid w:val="00C275DE"/>
    <w:rsid w:val="00C344E7"/>
    <w:rsid w:val="00C34C2B"/>
    <w:rsid w:val="00C471EE"/>
    <w:rsid w:val="00C5090D"/>
    <w:rsid w:val="00C516A1"/>
    <w:rsid w:val="00C531FF"/>
    <w:rsid w:val="00C53663"/>
    <w:rsid w:val="00C543E3"/>
    <w:rsid w:val="00C54463"/>
    <w:rsid w:val="00C625FA"/>
    <w:rsid w:val="00C644C7"/>
    <w:rsid w:val="00C659D0"/>
    <w:rsid w:val="00C65F9B"/>
    <w:rsid w:val="00C66A8C"/>
    <w:rsid w:val="00C67DA4"/>
    <w:rsid w:val="00C70168"/>
    <w:rsid w:val="00C70F21"/>
    <w:rsid w:val="00C71935"/>
    <w:rsid w:val="00C72875"/>
    <w:rsid w:val="00C72993"/>
    <w:rsid w:val="00C757DA"/>
    <w:rsid w:val="00C77A95"/>
    <w:rsid w:val="00C80569"/>
    <w:rsid w:val="00C81A60"/>
    <w:rsid w:val="00C82864"/>
    <w:rsid w:val="00C86D95"/>
    <w:rsid w:val="00C903C3"/>
    <w:rsid w:val="00C9086C"/>
    <w:rsid w:val="00C91FF9"/>
    <w:rsid w:val="00C92F43"/>
    <w:rsid w:val="00C944E5"/>
    <w:rsid w:val="00C96FC0"/>
    <w:rsid w:val="00CA30D7"/>
    <w:rsid w:val="00CA468C"/>
    <w:rsid w:val="00CA4F90"/>
    <w:rsid w:val="00CB3AE8"/>
    <w:rsid w:val="00CB3EA3"/>
    <w:rsid w:val="00CB5D2C"/>
    <w:rsid w:val="00CC14E4"/>
    <w:rsid w:val="00CC2443"/>
    <w:rsid w:val="00CD1675"/>
    <w:rsid w:val="00CD399D"/>
    <w:rsid w:val="00CD4642"/>
    <w:rsid w:val="00CD5308"/>
    <w:rsid w:val="00CE2266"/>
    <w:rsid w:val="00CE5E6E"/>
    <w:rsid w:val="00CE618F"/>
    <w:rsid w:val="00CE6508"/>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5E50"/>
    <w:rsid w:val="00D96622"/>
    <w:rsid w:val="00D9708A"/>
    <w:rsid w:val="00D97AB1"/>
    <w:rsid w:val="00DA1925"/>
    <w:rsid w:val="00DA35CA"/>
    <w:rsid w:val="00DA70FF"/>
    <w:rsid w:val="00DB0CCF"/>
    <w:rsid w:val="00DB1EEF"/>
    <w:rsid w:val="00DB3818"/>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F69"/>
    <w:rsid w:val="00DF761C"/>
    <w:rsid w:val="00E0152C"/>
    <w:rsid w:val="00E05300"/>
    <w:rsid w:val="00E06B2D"/>
    <w:rsid w:val="00E06E06"/>
    <w:rsid w:val="00E108C6"/>
    <w:rsid w:val="00E11FB2"/>
    <w:rsid w:val="00E12664"/>
    <w:rsid w:val="00E1274D"/>
    <w:rsid w:val="00E13203"/>
    <w:rsid w:val="00E135BE"/>
    <w:rsid w:val="00E13CA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2506"/>
    <w:rsid w:val="00E63F89"/>
    <w:rsid w:val="00E64BFD"/>
    <w:rsid w:val="00E64C4D"/>
    <w:rsid w:val="00E64EBF"/>
    <w:rsid w:val="00E70383"/>
    <w:rsid w:val="00E709DB"/>
    <w:rsid w:val="00E70F83"/>
    <w:rsid w:val="00E75B4B"/>
    <w:rsid w:val="00E8016B"/>
    <w:rsid w:val="00E80617"/>
    <w:rsid w:val="00E8163D"/>
    <w:rsid w:val="00E85B61"/>
    <w:rsid w:val="00E87088"/>
    <w:rsid w:val="00E941F7"/>
    <w:rsid w:val="00E95E66"/>
    <w:rsid w:val="00E966C3"/>
    <w:rsid w:val="00E97D6F"/>
    <w:rsid w:val="00E97EB0"/>
    <w:rsid w:val="00EA42FC"/>
    <w:rsid w:val="00EA5D2D"/>
    <w:rsid w:val="00EB67DA"/>
    <w:rsid w:val="00EC29B6"/>
    <w:rsid w:val="00EC6399"/>
    <w:rsid w:val="00EC7B6C"/>
    <w:rsid w:val="00ED00C1"/>
    <w:rsid w:val="00ED059D"/>
    <w:rsid w:val="00ED11DD"/>
    <w:rsid w:val="00ED3579"/>
    <w:rsid w:val="00ED36C0"/>
    <w:rsid w:val="00ED6EE5"/>
    <w:rsid w:val="00ED7EF1"/>
    <w:rsid w:val="00EE610D"/>
    <w:rsid w:val="00EE6A58"/>
    <w:rsid w:val="00EF59D3"/>
    <w:rsid w:val="00EF7BA0"/>
    <w:rsid w:val="00F00288"/>
    <w:rsid w:val="00F03745"/>
    <w:rsid w:val="00F03899"/>
    <w:rsid w:val="00F10329"/>
    <w:rsid w:val="00F12718"/>
    <w:rsid w:val="00F12B22"/>
    <w:rsid w:val="00F13C9F"/>
    <w:rsid w:val="00F14EF6"/>
    <w:rsid w:val="00F16D0D"/>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616"/>
    <w:rsid w:val="00F5173D"/>
    <w:rsid w:val="00F52276"/>
    <w:rsid w:val="00F565B8"/>
    <w:rsid w:val="00F575A7"/>
    <w:rsid w:val="00F60831"/>
    <w:rsid w:val="00F651C3"/>
    <w:rsid w:val="00F65AD3"/>
    <w:rsid w:val="00F70531"/>
    <w:rsid w:val="00F71128"/>
    <w:rsid w:val="00F71E53"/>
    <w:rsid w:val="00F72EFC"/>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B760A"/>
    <w:rsid w:val="00FC097D"/>
    <w:rsid w:val="00FC0A54"/>
    <w:rsid w:val="00FC2F2E"/>
    <w:rsid w:val="00FC3A41"/>
    <w:rsid w:val="00FD314F"/>
    <w:rsid w:val="00FD3F68"/>
    <w:rsid w:val="00FD6099"/>
    <w:rsid w:val="00FD668C"/>
    <w:rsid w:val="00FD6BBF"/>
    <w:rsid w:val="00FD707C"/>
    <w:rsid w:val="00FE2B87"/>
    <w:rsid w:val="00FE51BD"/>
    <w:rsid w:val="00FE5DC3"/>
    <w:rsid w:val="00FF1779"/>
    <w:rsid w:val="00FF1981"/>
    <w:rsid w:val="00FF2340"/>
    <w:rsid w:val="00FF60C7"/>
    <w:rsid w:val="00FF7392"/>
    <w:rsid w:val="020A5573"/>
    <w:rsid w:val="023B43DC"/>
    <w:rsid w:val="027163F5"/>
    <w:rsid w:val="03130023"/>
    <w:rsid w:val="06DC3C4A"/>
    <w:rsid w:val="074D26E8"/>
    <w:rsid w:val="07AC68D5"/>
    <w:rsid w:val="07DB7F7C"/>
    <w:rsid w:val="09617C16"/>
    <w:rsid w:val="097E665F"/>
    <w:rsid w:val="0AE879CD"/>
    <w:rsid w:val="0C9D102A"/>
    <w:rsid w:val="0F380010"/>
    <w:rsid w:val="0F8F3712"/>
    <w:rsid w:val="10A62BEA"/>
    <w:rsid w:val="11A9203E"/>
    <w:rsid w:val="12026270"/>
    <w:rsid w:val="1208069B"/>
    <w:rsid w:val="13404ED0"/>
    <w:rsid w:val="145C14DB"/>
    <w:rsid w:val="17FB24AC"/>
    <w:rsid w:val="180C2802"/>
    <w:rsid w:val="1A7D41CF"/>
    <w:rsid w:val="1BA7556B"/>
    <w:rsid w:val="1E785972"/>
    <w:rsid w:val="1F0F06E9"/>
    <w:rsid w:val="1F6C47FF"/>
    <w:rsid w:val="1FD3237E"/>
    <w:rsid w:val="20B5562B"/>
    <w:rsid w:val="21CE0EBF"/>
    <w:rsid w:val="23232F4A"/>
    <w:rsid w:val="24485B15"/>
    <w:rsid w:val="27054714"/>
    <w:rsid w:val="27B7431E"/>
    <w:rsid w:val="280A12CC"/>
    <w:rsid w:val="29A62830"/>
    <w:rsid w:val="2A3A0933"/>
    <w:rsid w:val="2AF61794"/>
    <w:rsid w:val="2BBC4266"/>
    <w:rsid w:val="2D73499D"/>
    <w:rsid w:val="2FFC45B2"/>
    <w:rsid w:val="30CD6C9E"/>
    <w:rsid w:val="317B493D"/>
    <w:rsid w:val="326822C2"/>
    <w:rsid w:val="351D2CFA"/>
    <w:rsid w:val="364D2887"/>
    <w:rsid w:val="375D1D30"/>
    <w:rsid w:val="39C84E9E"/>
    <w:rsid w:val="3AF834CA"/>
    <w:rsid w:val="3B0C717F"/>
    <w:rsid w:val="3BB75E87"/>
    <w:rsid w:val="3C6B6EA5"/>
    <w:rsid w:val="3DB93D7E"/>
    <w:rsid w:val="3DDB10AC"/>
    <w:rsid w:val="3FEDB7A9"/>
    <w:rsid w:val="401D72F5"/>
    <w:rsid w:val="41386A17"/>
    <w:rsid w:val="42B61283"/>
    <w:rsid w:val="4502DE83"/>
    <w:rsid w:val="455967A9"/>
    <w:rsid w:val="455F3977"/>
    <w:rsid w:val="478574B0"/>
    <w:rsid w:val="478C3379"/>
    <w:rsid w:val="4814620B"/>
    <w:rsid w:val="481D0000"/>
    <w:rsid w:val="486F73F1"/>
    <w:rsid w:val="487A4700"/>
    <w:rsid w:val="492522C2"/>
    <w:rsid w:val="4ADF5E22"/>
    <w:rsid w:val="4BB12688"/>
    <w:rsid w:val="4CAC4573"/>
    <w:rsid w:val="4FD817BC"/>
    <w:rsid w:val="500B2151"/>
    <w:rsid w:val="50591497"/>
    <w:rsid w:val="513B7C42"/>
    <w:rsid w:val="51650C56"/>
    <w:rsid w:val="51942682"/>
    <w:rsid w:val="5232472D"/>
    <w:rsid w:val="54020F64"/>
    <w:rsid w:val="556E4ED2"/>
    <w:rsid w:val="56F63CB7"/>
    <w:rsid w:val="57351534"/>
    <w:rsid w:val="579144D5"/>
    <w:rsid w:val="57EB50F1"/>
    <w:rsid w:val="581234E4"/>
    <w:rsid w:val="583647DE"/>
    <w:rsid w:val="5A5A3D4A"/>
    <w:rsid w:val="5A9E268E"/>
    <w:rsid w:val="5ABF37D8"/>
    <w:rsid w:val="5BA5123A"/>
    <w:rsid w:val="5BAE3879"/>
    <w:rsid w:val="5D182B8A"/>
    <w:rsid w:val="5E9241CC"/>
    <w:rsid w:val="5FFF28AB"/>
    <w:rsid w:val="6188231B"/>
    <w:rsid w:val="648D579B"/>
    <w:rsid w:val="64B86B45"/>
    <w:rsid w:val="64BF9BA3"/>
    <w:rsid w:val="650E2E84"/>
    <w:rsid w:val="651313E3"/>
    <w:rsid w:val="671D4AA2"/>
    <w:rsid w:val="69957DEC"/>
    <w:rsid w:val="6A6A3168"/>
    <w:rsid w:val="6B922B48"/>
    <w:rsid w:val="6C564AE8"/>
    <w:rsid w:val="6DBF0EF9"/>
    <w:rsid w:val="6DF72075"/>
    <w:rsid w:val="6F2C465B"/>
    <w:rsid w:val="70FE6F4D"/>
    <w:rsid w:val="731829DE"/>
    <w:rsid w:val="73B45A2A"/>
    <w:rsid w:val="73CF7087"/>
    <w:rsid w:val="74022FCB"/>
    <w:rsid w:val="7A0176CA"/>
    <w:rsid w:val="7B7D4F45"/>
    <w:rsid w:val="7BED67E4"/>
    <w:rsid w:val="7D164783"/>
    <w:rsid w:val="7DA83E82"/>
    <w:rsid w:val="7E960D71"/>
    <w:rsid w:val="BF9F921E"/>
    <w:rsid w:val="BFE9750D"/>
    <w:rsid w:val="BFECDB56"/>
    <w:rsid w:val="DA17AE84"/>
    <w:rsid w:val="DFFF224C"/>
    <w:rsid w:val="E9BC47FA"/>
    <w:rsid w:val="FAB9E790"/>
    <w:rsid w:val="FAF4B06C"/>
    <w:rsid w:val="FFE8E67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10">
    <w:name w:val="Default Paragraph Font"/>
    <w:semiHidden/>
    <w:uiPriority w:val="0"/>
  </w:style>
  <w:style w:type="table" w:default="1" w:styleId="8">
    <w:name w:val="Normal Table"/>
    <w:semiHidden/>
    <w:uiPriority w:val="0"/>
    <w:tblPr>
      <w:tblStyle w:val="8"/>
      <w:tblLayout w:type="fixed"/>
      <w:tblCellMar>
        <w:top w:w="0" w:type="dxa"/>
        <w:left w:w="108" w:type="dxa"/>
        <w:bottom w:w="0" w:type="dxa"/>
        <w:right w:w="108" w:type="dxa"/>
      </w:tblCellMar>
    </w:tblPr>
  </w:style>
  <w:style w:type="paragraph" w:styleId="2">
    <w:name w:val="Document Map"/>
    <w:basedOn w:val="1"/>
    <w:semiHidden/>
    <w:uiPriority w:val="0"/>
    <w:pPr>
      <w:shd w:val="clear" w:color="auto" w:fill="000080"/>
    </w:pPr>
  </w:style>
  <w:style w:type="paragraph" w:styleId="3">
    <w:name w:val="Body Text"/>
    <w:basedOn w:val="1"/>
    <w:uiPriority w:val="0"/>
    <w:pPr>
      <w:spacing w:after="120"/>
    </w:pPr>
    <w:rPr>
      <w:rFonts w:ascii="Calibri" w:hAnsi="Calibri" w:eastAsia="宋体" w:cs="Times New Roman"/>
      <w:szCs w:val="22"/>
      <w:lang w:bidi="ar-SA"/>
    </w:rPr>
  </w:style>
  <w:style w:type="paragraph" w:styleId="4">
    <w:name w:val="Date"/>
    <w:basedOn w:val="1"/>
    <w:next w:val="1"/>
    <w:link w:val="12"/>
    <w:uiPriority w:val="0"/>
    <w:pPr>
      <w:ind w:left="100" w:leftChars="2500"/>
    </w:pPr>
    <w:rPr>
      <w:rFonts w:ascii="仿宋_GB2312" w:eastAsia="仿宋_GB2312"/>
      <w:sz w:val="32"/>
    </w:rPr>
  </w:style>
  <w:style w:type="paragraph" w:styleId="5">
    <w:name w:val="Balloon Text"/>
    <w:basedOn w:val="1"/>
    <w:semiHidden/>
    <w:uiPriority w:val="0"/>
    <w:rPr>
      <w:sz w:val="18"/>
      <w:szCs w:val="18"/>
    </w:rPr>
  </w:style>
  <w:style w:type="paragraph" w:styleId="6">
    <w:name w:val="footer"/>
    <w:basedOn w:val="1"/>
    <w:link w:val="13"/>
    <w:uiPriority w:val="0"/>
    <w:pPr>
      <w:tabs>
        <w:tab w:val="center" w:pos="4153"/>
        <w:tab w:val="right" w:pos="8306"/>
      </w:tabs>
      <w:snapToGrid w:val="0"/>
      <w:jc w:val="left"/>
    </w:pPr>
    <w:rPr>
      <w:sz w:val="18"/>
      <w:szCs w:val="18"/>
    </w:rPr>
  </w:style>
  <w:style w:type="paragraph" w:styleId="7">
    <w:name w:val="header"/>
    <w:basedOn w:val="1"/>
    <w:link w:val="14"/>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uiPriority w:val="0"/>
    <w:pPr>
      <w:widowControl w:val="0"/>
      <w:jc w:val="both"/>
    </w:pPr>
    <w:tblPr>
      <w:tblStyle w:val="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page number"/>
    <w:basedOn w:val="10"/>
    <w:uiPriority w:val="0"/>
  </w:style>
  <w:style w:type="character" w:customStyle="1" w:styleId="12">
    <w:name w:val=" Char Char2"/>
    <w:basedOn w:val="10"/>
    <w:link w:val="4"/>
    <w:uiPriority w:val="0"/>
    <w:rPr>
      <w:rFonts w:ascii="仿宋_GB2312" w:hAnsi="Times New Roman" w:eastAsia="仿宋_GB2312" w:cs="Times New Roman"/>
      <w:kern w:val="2"/>
      <w:sz w:val="32"/>
      <w:szCs w:val="24"/>
      <w:lang w:bidi="ar-SA"/>
    </w:rPr>
  </w:style>
  <w:style w:type="character" w:customStyle="1" w:styleId="13">
    <w:name w:val=" Char Char"/>
    <w:basedOn w:val="10"/>
    <w:link w:val="6"/>
    <w:semiHidden/>
    <w:uiPriority w:val="99"/>
    <w:rPr>
      <w:rFonts w:ascii="Calibri" w:hAnsi="Calibri" w:eastAsia="宋体" w:cs="Mongolian Baiti"/>
      <w:kern w:val="2"/>
      <w:sz w:val="18"/>
      <w:szCs w:val="22"/>
    </w:rPr>
  </w:style>
  <w:style w:type="character" w:customStyle="1" w:styleId="14">
    <w:name w:val=" Char Char1"/>
    <w:basedOn w:val="10"/>
    <w:link w:val="7"/>
    <w:semiHidden/>
    <w:uiPriority w:val="99"/>
    <w:rPr>
      <w:rFonts w:ascii="Calibri" w:hAnsi="Calibri" w:eastAsia="宋体" w:cs="Mongolian Baiti"/>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15</Words>
  <Characters>87</Characters>
  <Lines>1</Lines>
  <Paragraphs>1</Paragraphs>
  <TotalTime>1</TotalTime>
  <ScaleCrop>false</ScaleCrop>
  <LinksUpToDate>false</LinksUpToDate>
  <CharactersWithSpaces>101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2012-09-19T12:59:00Z</dcterms:created>
  <dc:creator>阿拉善盟行政公署:打印</dc:creator>
  <cp:lastModifiedBy>zwfw</cp:lastModifiedBy>
  <cp:lastPrinted>2022-01-20T16:53:08Z</cp:lastPrinted>
  <dcterms:modified xsi:type="dcterms:W3CDTF">2022-01-24T03:08:38Z</dcterms:modified>
  <dc:title>_x0001_</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